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RH.2023.13 vom 16. August 2023</w:t>
      </w:r>
    </w:p>
    <w:p>
      <w:r>
        <w:t>Bundesstrafgericht, 2023-08-16, DE</w:t>
      </w:r>
    </w:p>
    <w:p>
      <w:r>
        <w:rPr>
          <w:b/>
        </w:rPr>
        <w:t xml:space="preserve">Quelle: </w:t>
      </w:r>
      <w:r>
        <w:t>https://mcp.opencaselaw.ch/entscheid/bstger_RH.2023.13</w:t>
      </w:r>
    </w:p>
    <w:p>
      <w:r>
        <w:t>FR: TPF RH.2023.13 du 16 août 2023</w:t>
      </w:r>
    </w:p>
    <w:p>
      <w:r>
        <w:t>IT: TPF RH.2023.13 del 16 agosto 2023</w:t>
      </w:r>
    </w:p>
    <w:p>
      <w:pPr>
        <w:pStyle w:val="Heading2"/>
      </w:pPr>
      <w:r>
        <w:t>Regeste</w:t>
      </w:r>
    </w:p>
    <w:p>
      <w:r>
        <w:t>Auslieferung an Polen; Auslieferungshaftbefehl (Art. 48 Abs. 2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w:t>
      </w:r>
    </w:p>
    <w:p>
      <w:r>
        <w:t>- 4 -</w:t>
      </w:r>
    </w:p>
    <w:p>
      <w:r>
        <w:t>Beschlusses 2010/261/EU der Kommission, namentlich Art. 26–31 (CELEX- Nr. 32018R1862; Abl. L 312 vom 7. Dezember 2018, S. 56–106; abrufbar unter «Rechtssammlung zu den sektoriellen Abkommen mit der EU», 8.4 Weiterentwicklungen des Schengen-Besitzstands), sowie diejenigen Best- immungen des Übereinkommens vom 27. September 1996 über die Auslie- ferung zwischen den Mitgliedstaaten der Europäischen Union (EU-Ausliefe- rungsübereinkommen; CELEX-Nr. 41996A1023(02); Abl. C 313 vom 23. Ok- 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 stellt (BGE 142 IV 250 E. 3; 140 IV 123 E. 2; 137 IV 33 E.2.2.2; 136 IV 82 E. 3.1). Vorbehalten bleibt die Wahrung der Menschenrechte (BGE 135 IV 212 E. 2.3; 123 II 595 E. 7c; TPF 2016 65 E. 1.2; 2008 24 E. 1.1).</w:t>
      </w:r>
    </w:p>
    <w:p>
      <w:r>
        <w:rPr>
          <w:b/>
        </w:rPr>
        <w:t>E. 1.3</w:t>
      </w:r>
    </w:p>
    <w:p>
      <w:r>
        <w:t>Für das Beschwerdeverfahren gelten zudem die Art. 379-397 StPO sinnge- mäss (Art. 48 Abs. 1 i.V.m. Art. 47 IRSG) sowie die Bestimmungen des VwVG (vgl. Art. 39 Abs. 2 lit. b i.V.m. Art. 37 Abs. 2 lit. a Ziff. 1 StBOG).</w:t>
      </w:r>
    </w:p>
    <w:p>
      <w:r>
        <w:rPr>
          <w:b/>
        </w:rPr>
        <w:t>E. 2</w:t>
      </w:r>
    </w:p>
    <w:p>
      <w:r>
        <w:t>Gegen den Auslieferungshaftbefehl des BJ kann der Verfolgte innert zehn Tagen ab der schriftlichen Eröffnung bei der Beschwerdekammer des Bun- desstrafgerichts Beschwerde erheben (Art. 48 Abs. 2 IRSG). Der angefoch- tene Auslieferungshaftbefehl ist dem Beschwerdeführer am 24. Juli 2023 ausgehändigt worden. Die am 31. Juli 2023 erhobene Beschwerde erweist sich als fristgerecht. Die übrigen Eintretensvoraussetzungen geben keinen Anlass zu Bemerkungen. Auf die Beschwerde ist einzutreten.</w:t>
      </w:r>
    </w:p>
    <w:p>
      <w:r>
        <w:t>- 5 -</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Der Beschwerdeführer bestreitet das Vorliegen von Fluchtgefahr. Er sei frei- willig in die Schweiz eingereist, um seine Tochter zu besuchen. Die Bindung zwischen ihm und der Schweiz sei insbesondere seine Tochter. Zu ihr und deren Familie pflege er seit Jahren eine starke familiäre Bindung. Auch seine Lebenspartnerin sei inzwischen aus der Ukraine in die Schweiz geflüchtet und habe ihren Lebensmittelpunkt hier. Der Beschwerdeführer könne bei der Tochter oder aber auch bei seiner Lebenspartnerin wohnen und werde sich von dort aus den Behörden zur Verfügung halten. Zudem sei eine Flucht</w:t>
      </w:r>
    </w:p>
    <w:p>
      <w:r>
        <w:t>- 6 -</w:t>
      </w:r>
    </w:p>
    <w:p>
      <w:r>
        <w:t>zurück nach Uganda unter den herrschenden Umständen undenkbar, weil er ohnehin unter Beobachtung der Behörden stehe und die Flucht nach Uganda zwangsläufig über den Luftverkehr erfolgen müsse. Die Flucht in ein Nach- barland sei sinnfrei. Abgesehen davon sei der Beschwerdeführer auch in den vergangenen Jahren nicht geflüchtet, sondern habe sich aus Polen wegbe- geben, weil er da keine Arbeit mehr habe finden können. Er sei in diesen Jahren auch regelmässig in die Schweiz gereist, um seine Tochter hier zu besuchen. Er sei stolzer Grossvater und wolle gerne mit seiner Lebenspart- nerin gänzlich in der Schweiz leben, um seiner Tochter und deren Familie nahe zu sein (act. 4 S. 1 f.).</w:t>
      </w:r>
    </w:p>
    <w:p>
      <w:r>
        <w:rPr>
          <w:b/>
        </w:rPr>
        <w:t>E. 4.2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Zunächst ist festzuhalten, dass der Beschwerdeführer zu einer Freiheitsstrafe von 3 Jahren und 6 Monaten ver- urteilt worden ist, wovon er noch 2 Jahre, 6 Monate und 15 Tage zu verbüs- sen hat. Vor diesem Hintergrund ist unter Berücksichtigung der zitierten Rechtsprechung von einer hohen Fluchtgefahr auszugehen. Der Beschwer- deführer lebt sodann eigenen Angaben zufolge in Uganda (act. 3.3). Eine Verbundenheit mit der Schweiz, welche die Fluchtgefahr bannen würde, liegt somit von vornherein nicht vor. Daran ändert auch nichts, dass die Tochter des Beschwerdeführers sowie auch dessen Lebenspartnerin in der Schweiz leben sollen.</w:t>
      </w:r>
    </w:p>
    <w:p>
      <w:r>
        <w:rPr>
          <w:b/>
        </w:rPr>
        <w:t>E. 4.3</w:t>
      </w:r>
    </w:p>
    <w:p>
      <w:r>
        <w:t>Mildere Ersatzmassnahmen, die geeignet wären, der erheblichen Fluchtge- fahr ausreichend zu begegnen, sind vorliegend keine ersichtlich. Nach kon- stanter Rechtsprechung werden Abgabe der Reisedokumente, Schriften- sperre, Meldepflicht und Electronic Monitoring ohnehin nur in Kombination mit einer sehr substantiellen Sicherheitsleistung als überhaupt geeignet er- achtet, Fluchtgefahr ausreichend zu bannen (vgl. Entscheide des Bun- desstrafgerichts RH.2020.9 vom 11. September 2020 E. 5.2; RH.2017.17 vom 2. Oktober 2017 E. 5.4.4; RH.2015.20 vom 1. September 2015 E. 5.3.2; RH.2015.10 vom 10. Juni 2015 E. 5.3; RH.2015.4 vom 23. Februar 2015 E. 5.2). Der Beschwerdeführer äussert sich jedoch nicht zur Höhe einer all- fälligen Sicherheitsleistung. Er macht gegenteils geltend, bedürftig zu sein und weder über Vermögen noch Einkommen zu verfügen (vgl. act. 1 S. 2).</w:t>
      </w:r>
    </w:p>
    <w:p>
      <w:r>
        <w:t>- 7 -</w:t>
      </w:r>
    </w:p>
    <w:p>
      <w:r>
        <w:rPr>
          <w:b/>
        </w:rPr>
        <w:t>E. 5.1</w:t>
      </w:r>
    </w:p>
    <w:p>
      <w:r>
        <w:t>Schliesslich macht der Beschwerdeführer geltend, er habe gesundheitliche Probleme. Während der Haft in Polen habe er zwei Herzinfarkte erlitten, die damals nicht beachtet worden seien. Nach seiner Entlassung habe er einen dritten Infarkt erlitten, welcher zu einer Operation geführt habe. Dabei seien die beiden vorangegangenen Infarkte festgestellt worden. Er habe grosse Angst, dass ihm Gleiches nochmals passieren würde und er dabei grössere Schädigungen davon tragen könne oder sogar sein Leben lassen müsste. Aufgrund dieser gesundheitlichen Vorgeschichte verbunden mit der psychi- schen Belastung diesbezüglich sei es angezeigt, ihn aus der Haft zu entlas- sen. Es sei zudem zu erwähnen, dass er während seiner Haft in Polen einen Schlüsselbeinbruch erlitten habe, welcher mittels ärztlicher Untersuchung nachgewiesen werden könne. Auch dies belaste den Beschwerdeführer sehr, weshalb auch in dieser Hinsicht eine Hafterstehungsfähigkeit nicht ge- geben sein dürfte (act. 4 S. 3).</w:t>
      </w:r>
    </w:p>
    <w:p>
      <w:r>
        <w:rPr>
          <w:b/>
        </w:rPr>
        <w:t>E. 5.2</w:t>
      </w:r>
    </w:p>
    <w:p>
      <w:r>
        <w:t>Ist der Verfolgte nicht hafterstehungsfähig, so können anstelle der Haft an- dere Massnahmen angeordnet werden (vgl. Art. 47 Abs. 2 IRSG). Eine Per- son gilt als nicht hafterstehungsfähig, wenn mit Sicherheit oder grösster Wahrscheinlichkeit damit zu rechnen ist, dass die Haft ihr Leben gefährden bzw. ihre Gesundheit schwerwiegend beeinträchtigen wird (vgl. BGE 108 Ia 69 E. 2b, sowie URWYLER/ENDRASS/HACHTEL/GRAF, Handbuch Strafrecht – Psychiatrie – Psychologie, 2022, S. 1013 ff.; GRAF/BRÄGGER, Hafterste- hungsfähigkeit, in: Brägger [Hrsg.], Das Schweizerische Vollzugslexikon, 2. Aufl. 2022, S. 309 f.). Hinter dem Konzept der Hafterstehungsfähigkeit steht der grund- und konventionsrechtlich fundierte Rechtsanspruch (vgl. Art. 10 BV; Art. 2 und 3 EMRK), dass eine genügende Gesundheitsversor- gung der haftbetroffenen Person gewährleistet ist (vgl. URWYLER/END- RASS/HACHTEL/GRAF, a.a.O., S. 1015). Ob der Gesundheitszustand der Haft entgegensteht und ob eine genügende medizinische Betreuung in Haft ge- währleistet ist, muss die zuständige Behörde unter Beizug von medizini- schen Sachverständigen im Einzelfall abklären (vgl. HÄNNI, Basler Kommen- tar, 2. Aufl. 2014, Art. 251/252 StPO N. 49; BGE 136 IV 97 E. 5).</w:t>
      </w:r>
    </w:p>
    <w:p>
      <w:r>
        <w:rPr>
          <w:b/>
        </w:rPr>
        <w:t>E. 5.3</w:t>
      </w:r>
    </w:p>
    <w:p>
      <w:r>
        <w:t>Zunächst ist festzuhalten, dass der Beschwerdeführer nichts einreicht, das seine angeblich fehlende Hafterstehungsfähigkeit untermauern würde. Hin- gegen ist den Akten zu entnehmen, dass die Hafterstehungsfähigkeit des Beschwerdeführers am 14. Juli 2023 durch Dr. med. B., Z., ärztlich abgeklärt und bejaht worden ist. Dabei hat der Arzt unter anderem festgehalten, dass der Allgemeinzustand des Beschwerdeführers gut, das Herz und die Lunge in Ordnung seien und dass der Beschwerdeführer sich vor 11 Jahren einer Herzoperation habe unterziehen müssen. Im Bericht wird sodann die</w:t>
      </w:r>
    </w:p>
    <w:p>
      <w:r>
        <w:t>- 8 -</w:t>
      </w:r>
    </w:p>
    <w:p>
      <w:r>
        <w:t>tägliche Medikation des Beschwerdeführers festgehalten (act. 3.3). Hinweise darauf, dass der Beschwerdeführer in der Auslieferungshaft die nötigen Me- dikamente nicht erhält oder nicht jederzeit einen Gefängnisarzt beziehen könnte, bestehen keine. Derartiges wird vom Beschwerdeführer auch gar nicht geltend gemacht.</w:t>
      </w:r>
    </w:p>
    <w:p>
      <w:r>
        <w:rPr>
          <w:b/>
        </w:rPr>
        <w:t>E. 5.4</w:t>
      </w:r>
    </w:p>
    <w:p>
      <w:r>
        <w:t>Die Beschwerde erweist sich daher auch in diesem Punkt als unbegründet.</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w:t>
      </w:r>
    </w:p>
    <w:p>
      <w:r>
        <w:rPr>
          <w:b/>
        </w:rPr>
        <w:t>E. 7.1</w:t>
      </w:r>
    </w:p>
    <w:p>
      <w:r>
        <w:t>Der Beschwerdeführer ersucht um unentgeltliche Rechtspflege (RP.2023.34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7.3</w:t>
      </w:r>
    </w:p>
    <w:p>
      <w:r>
        <w:t>Vorliegend erweist sich die Beschwerde als offensichtlich aussichtslos im Sinne von Art. 65 Abs. 1 VwVG. Demzufolge ist das Gesuch des Beschwer- deführers um unentgeltliche Rechtspflege ohne Überprüfung seiner finanzi- ellen Situation abzuweisen. Bei der Festsetzung der Gerichtsgebühr kann der womöglich schwierigen finanziellen Situation des Beschwerdeführers Rechnung getragen werden.</w:t>
      </w:r>
    </w:p>
    <w:p>
      <w:r>
        <w:rPr>
          <w:b/>
        </w:rPr>
        <w:t>E. 8</w:t>
      </w:r>
    </w:p>
    <w:p>
      <w:r>
        <w:t>Bei diesem Ausgang des Verfahrens sind die Gerichtskosten dem Be- schwerdeführer aufzuerlegen (vgl. Art. 63 Abs. 1 VwVG). Die reduzierte Ge- richtsgebühr ist auf Fr. 1'000.-- festzusetzen (vgl. Art. 63 Abs. 5 VwVG und</w:t>
      </w:r>
    </w:p>
    <w:p>
      <w:r>
        <w:t>- 9 -</w:t>
      </w:r>
    </w:p>
    <w:p>
      <w:r>
        <w:t>Art. 73 StBOG sowie Art. 5 und Art. 8 Abs. 3 lit. a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