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RH.2022.7 vom 3. Juni 2022</w:t>
      </w:r>
    </w:p>
    <w:p>
      <w:r>
        <w:t>Bundesstrafgericht, 2022-06-03, DE</w:t>
      </w:r>
    </w:p>
    <w:p>
      <w:r>
        <w:rPr>
          <w:b/>
        </w:rPr>
        <w:t xml:space="preserve">Quelle: </w:t>
      </w:r>
      <w:r>
        <w:t>https://mcp.opencaselaw.ch/entscheid/bstger_RH.2022.7</w:t>
      </w:r>
    </w:p>
    <w:p>
      <w:r>
        <w:t>FR: TPF RH.2022.7 du 3 juin 2022</w:t>
      </w:r>
    </w:p>
    <w:p>
      <w:r>
        <w:t>IT: TPF RH.2022.7 del 3 giugno 2022</w:t>
      </w:r>
    </w:p>
    <w:p>
      <w:pPr>
        <w:pStyle w:val="Heading2"/>
      </w:pPr>
      <w:r>
        <w:t>Regeste</w:t>
      </w:r>
    </w:p>
    <w:p>
      <w:r>
        <w:t>Auslieferung an das Fürstentum Monaco; Auslieferungshaftbefehl (Art. 48 Abs. 2 IRSG); unentgeltliche Rechtspflege (Art. 65 VwVG)</w:t>
      </w:r>
    </w:p>
    <w:p>
      <w:pPr>
        <w:pStyle w:val="Heading2"/>
      </w:pPr>
      <w:r>
        <w:t>Erwägungen</w:t>
      </w:r>
    </w:p>
    <w:p>
      <w:r>
        <w:rPr>
          <w:b/>
        </w:rPr>
        <w:t>E. 1.1</w:t>
      </w:r>
    </w:p>
    <w:p>
      <w:r>
        <w:t>Für den Auslieferungsverkehr zwischen der Schweiz und dem Fürstentum Monaco sind primär das Europäische Auslieferungsübereinkommen vom 13. Dezember 1957 (EAUe; SR 0.353.1), die hierzu ergangenen Zusatzpro- tokolle vom 17. März 1978 (ZPII EAUe; SR 0.353.12) und vom 10. Novem- ber 2010 (ZPIII EAUe; SR 0.353.13) sowie der Vertrag vom 13. November 1969 zwischen der Schweizerischen Eidgenossenschaft und der Bundesre- publik Deutschland über die Ergänzung des EAUe und die Erleichterung sei- ner Anwendung (ZV EAUe; SR 0.353.913.61) massgebend.</w:t>
      </w:r>
    </w:p>
    <w:p>
      <w:r>
        <w:rPr>
          <w:b/>
        </w:rPr>
        <w:t>E. 1.2</w:t>
      </w:r>
    </w:p>
    <w:p>
      <w:r>
        <w:t>Soweit der Staatsvertrag und die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t>- 4 -</w:t>
      </w:r>
    </w:p>
    <w:p>
      <w:r>
        <w:rPr>
          <w:b/>
        </w:rPr>
        <w:t>E. 2.1</w:t>
      </w:r>
    </w:p>
    <w:p>
      <w:r>
        <w:t>Die verfolgte Person kann gegen den Auslieferungshaftbefehl des BJ innert zehn Tagen ab der schriftlichen Eröffnung bei der Beschwerdekammer des Bundesstrafgerichts Beschwerde führen (Art. 48 Abs. 2 i.V.m. Art. 25 Abs. 1 IRSG, Art. 50 Abs. 1 VwVG, Art. 37 Abs. 2 lit. a Ziff. 1 StBOG).</w:t>
      </w:r>
    </w:p>
    <w:p>
      <w:r>
        <w:rPr>
          <w:b/>
        </w:rPr>
        <w:t>E. 2.2</w:t>
      </w:r>
    </w:p>
    <w:p>
      <w:r>
        <w:t>Der Auslieferungshaftbefehl wurde dem Rechtsvertreter des Beschwerde- führers am 4. Mai 2022 bzw. dem Beschwerdeführer am 9. Mai 2022 eröffnet (act. 1, S. 2; act. 3.4). Als Verfolgter (vgl. Art. 11 Abs. 1 IRSG) ist der Be- schwerdeführer zur Einreichung der vorliegenden Beschwerde legitimiert. Auf die frist- und formgerecht erhobene Beschwerde ist einzutreten.</w:t>
      </w:r>
    </w:p>
    <w:p>
      <w:r>
        <w:rPr>
          <w:b/>
        </w:rPr>
        <w:t>E. 3.1</w:t>
      </w:r>
    </w:p>
    <w:p>
      <w:r>
        <w:t>Der Beschwerdeführer bringt vor, der ersuchende Staat habe keinerlei Infor- mationen zur Frage eingereicht, ob die ihm zur Last gelegte Straftat mit einer Freiheitsstrafe von mindestens einem Jahr oder einer schwereren Sanktion bedroht sei. Die im Ersuchen aufgezählten Einbruchdiebstähle sollen vor knapp acht Jahren begangen worden sein und könnten zumindest teilweise verjährt sein. Auch darüber schweige sich der ersuchende Staat aus. Zudem könne mangels weiterer Informationen nicht ausgeschlossen werden, dass er an einen dritten Staat weitergeliefert werden könne. Diese Möglichkeiten hätten die Schweizer Behörden gründlich zu prüfen. Schliesslich sei er unter Anordnung von Ersatzmassnahmen aus der Haft zu entlassen. Er biete den Schweizer Behörden einen angemessen erscheinenden Kautionsbetrag an und werde sich an alle ihm aufzuerlegenden Meldepflichten anstandslos hal- ten (act. 1).</w:t>
      </w:r>
    </w:p>
    <w:p>
      <w:r>
        <w:rPr>
          <w:b/>
        </w:rPr>
        <w:t>E. 3.2</w:t>
      </w:r>
    </w:p>
    <w:p>
      <w:r>
        <w:t>Vorliegend angefochten ist der vom Beschwerdegegner wegen Fluchtgefahr erlassene Auslieferungshaftbefehl vom 3. Mai 2022. Die Vorbringen des Be- schwerdeführers in Bezug auf die im Ersuchen enthaltenen Informationen wären im Rahmen des ordentlichen Auslieferungsverfahrens geltend zu ma- chen, auf dessen Durchführung der Beschwerdeführer jedoch ausdrücklich verzichtet hat. Daher sind die diesbezüglichen Rügen vorliegend nicht zu prüfen. Der Vollständigkeit halber angemerkt sei, dass der Beschwerdefüh- rer auf die Einhaltung des Spezialitätsprinzips nicht verzichtet hat (act. 3.5). Daher wird der Beschwerdeführer nur für die im Ersuchen erwähnten Straf- taten an Monaco ausgeliefert. Es sind weder Gründe ersichtlich noch werden solche vom Beschwerdeführer geltend gemacht, weshalb sich der ersu- chende Staat nicht an den Spezialitätsgrundsatz halten sollte.</w:t>
      </w:r>
    </w:p>
    <w:p>
      <w:r>
        <w:t>- 5 -</w:t>
      </w:r>
    </w:p>
    <w:p>
      <w:r>
        <w:rPr>
          <w:b/>
        </w:rPr>
        <w:t>E. 3.3</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u.a. den Entscheid des Bundesstrafgerichts RH.2021.1 vom 18. Januar 2021 E. 3).</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f.; 111 IV 108 E. 2; Entscheid des Bundesstrafgerichts RH.2015.14 vom 9. Juli 2015 E. 4.1). Die Rechtsprechung ist hinsichtlich der Verneinung von Fluchtgefahr überaus restriktiv und misst der Erfüllung dieser staatsvertraglichen Auslie- ferungspflichten im Vergleich zu den Interessen des Verfolgten ausseror- dentlich grosses Gewicht bei (vgl. BGE 130 II 306 E. 2 S. 310 ff. m.w.H.; Entscheid des Bundesstrafgerichts RH.2015.4 vom 23. Februar 2015 E. 5.2). Das Bundesgericht bejaht die Fluchtgefahr bei drohenden hohen Freiheits- strafen in der Regel sogar dann, wenn der Betroffene über eine Niederlas- sungsbewilligung und familiäre Bindungen in der Schweiz verfügt (BGE 136 IV 20 E. 2.3; Urteil des Bundesgerichts 8G.45/2001 vom 15. August 2001 E. 3a).</w:t>
      </w:r>
    </w:p>
    <w:p>
      <w:r>
        <w:rPr>
          <w:b/>
        </w:rPr>
        <w:t>E. 3.4</w:t>
      </w:r>
    </w:p>
    <w:p>
      <w:r>
        <w:t>Der Beschwerdeführer ist italienischer und serbischer Staatsangehöriger (act. 3.5) und eine effektive Bindung zur Schweiz wird von ihm nicht geltend gemacht. Der Beschwerdeführer ist 39 Jahre alt und bei guter Gesundheit (act. 3.5). Der Beschwerdeführer wird verdächtigt, mehrere Einbruchdieb- stähle und einen versuchten Einbruchdiebstahl begangen zu haben. Nach dem Recht des ersuchenden Staates droht dem Beschwerdeführer hierfür eine Freiheitsstrafe von bis zu 20 Jahren (act. 3.1). Da der Beschwerdeführer anlässlich der Einvernahmen vom 9. Mai 2022 der vereinfachten Ausliefe- rung zugestimmt hat (act. 3.5), hat der Beschwerdegegner gleichentags die Auslieferungsbewilligung erteilt und dies der ersuchenden Behörde mitgeteilt</w:t>
      </w:r>
    </w:p>
    <w:p>
      <w:r>
        <w:t>- 6 -</w:t>
      </w:r>
    </w:p>
    <w:p>
      <w:r>
        <w:t>(act. 3.6). Sobald der Beschwerdeführer aus der Untersuchungshaft entlas- sen wird, droht ihm die zeitnahe Auslieferung nach Monaco. Unter diesen Umständen ist der Erlass des Auslieferungshaftbefehls wegen Fluchtgefahr nicht zu beanstanden. Mangels jeglicher Bindung an die Schweiz und an den ersuchenden Staat ist diese erheblich.</w:t>
      </w:r>
    </w:p>
    <w:p>
      <w:r>
        <w:rPr>
          <w:b/>
        </w:rPr>
        <w:t>E. 3.5</w:t>
      </w:r>
    </w:p>
    <w:p>
      <w:r>
        <w:t>Mildere Ersatzmassnahmen, die geeignet wären, der erheblichen Fluchtge- fahr ausreichend zu begegnen, sind nicht ersichtlich. Angesichts der einfa- chen Möglichkeit, sich ins Ausland abzusetzen, werden Ersatzmassnahmen wie Abgabe der Reisedokumente, Schriftensperre, Meldepflicht und Electro- nic Monitoring nach konstanter Rechtsprechung nur in Kombination mit einer sehr substantiellen Sicherheitsleistung als überhaupt geeignet erachtet, Fluchtgefahr ausreichend zu bannen (vgl. u.a. Entscheide des Bundesstraf- gerichts RH.2021.9 vom 17. August 2021 E. 7.4; RH.2021.3 vom 30. April 2021 E. 8.3; RH.2021.1 vom 18. Januar 2021 E. 4.3; RH.2020.10 vom 23. September 2020 E. 4.2; RH.2020.9 vom 11. September 2020 E. 5.2). Eine solche Sicherheitsleistung bietet der Beschwerdeführer zwar an, ohne diese jedoch näher zu präzisieren. Die Anordnung von Ersatzmassnahmen fällt daher bereits aus diesem Grund ausser Betracht.</w:t>
      </w:r>
    </w:p>
    <w:p>
      <w:r>
        <w:rPr>
          <w:b/>
        </w:rPr>
        <w:t>E. 3.6</w:t>
      </w:r>
    </w:p>
    <w:p>
      <w:r>
        <w:t>Die Beschwerde erweist sich als unbegründet und ist abzuweisen.</w:t>
      </w:r>
    </w:p>
    <w:p>
      <w:r>
        <w:rPr>
          <w:b/>
        </w:rPr>
        <w:t>E. 4.1</w:t>
      </w:r>
    </w:p>
    <w:p>
      <w:r>
        <w:t>Der Beschwerdeführer ersucht um Gewährung unentgeltlicher Rechtspflege und -verbeiständung (RP.2022.19, act. 1).</w:t>
      </w:r>
    </w:p>
    <w:p>
      <w:r>
        <w:rPr>
          <w:b/>
        </w:rPr>
        <w:t>E. 4.2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t>Da sich die vorliegende Beschwerde als vollumfänglich unbegründet erweist (supra E. 3.6), muss sie als aussichtslos im Sinne von Art. 65 Abs. 1 VwVG bezeichnet werden. Demzufolge ist das Gesuch des Beschwerdeführers um</w:t>
      </w:r>
    </w:p>
    <w:p>
      <w:r>
        <w:t>- 7 -</w:t>
      </w:r>
    </w:p>
    <w:p>
      <w:r>
        <w:t>unentgeltliche Rechtspflege und –verbeiständung ohne Prüfung seiner finan- ziellen Verhältnisse, welche er dem Gericht im Übrigen nicht offengelegt hat, abzuweisen.</w:t>
      </w:r>
    </w:p>
    <w:p>
      <w:r>
        <w:rPr>
          <w:b/>
        </w:rPr>
        <w:t>E. 4.3</w:t>
      </w:r>
    </w:p>
    <w:p>
      <w:r>
        <w:t>Somit sind die Gerichtskosten dem Beschwerdeführer aufzuerlegen (vgl. Art. 63 Abs. 1 VwVG) und die Gerichtsgebühr ist auf Fr. 2'000.-- festzusetzen (vgl. Art. 63 Abs. 5 VwVG und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