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RH.2022.2 vom 20. April 2022</w:t>
      </w:r>
    </w:p>
    <w:p>
      <w:r>
        <w:t>Bundesstrafgericht, 2022-04-20, FR</w:t>
      </w:r>
    </w:p>
    <w:p>
      <w:r>
        <w:rPr>
          <w:b/>
        </w:rPr>
        <w:t xml:space="preserve">Quelle: </w:t>
      </w:r>
      <w:r>
        <w:t>https://mcp.opencaselaw.ch/entscheid/bstger_RH.2022.2</w:t>
      </w:r>
    </w:p>
    <w:p>
      <w:r>
        <w:t>FR: TPF RH.2022.2 du 20 avril 2022</w:t>
      </w:r>
    </w:p>
    <w:p>
      <w:r>
        <w:t>IT: TPF RH.2022.2 del 20 aprile 2022</w:t>
      </w:r>
    </w:p>
    <w:p>
      <w:pPr>
        <w:pStyle w:val="Heading2"/>
      </w:pPr>
      <w:r>
        <w:t>Regeste</w:t>
      </w:r>
    </w:p>
    <w:p>
      <w:r>
        <w:t>Mandat d'arrêt en vue d'extradition (art. 48 al. 2 EIMP); élargissement (art. 50 al. 3 EIMP); assistance judiciaire gratuite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entrée en vigueur pour la Suisse le 20 mars 1967 et pour la France le 11 mai 1986, par le Deuxième Protocole additionnel à cette Convention (RS 0.353.12), entré en vigueur pour la Suisse le 9 juin 1985 et pour la France le 8 septembre 2021, le Troisième Protocole additionnel à la CEExtr (RS 0.353.13), entré en vigueur pour la Suisse le 1er novembre 2016 et pour la France le 1er octobre 2021, ainsi que par le Quatrième Protocole additionnel à la CEExtr (RS 0.353.14), entré en vigueur pour la Suisse le 1er novembre 2016 et pour la France le 1er octobre 2021. L’Accord entre le Conseil fédéral suisse et le Gouvernement de la République française relatif à la procédure simplifiée d’extradition et complétant la CEExtr conclu le 10 février 2003 (RS 0.353.934.92) et entré en vigueur par échange de notes le 1er janvier 2006 est en outre applicable. Les art. 59 ss de la Convention d’application de l’Accord de Schengen du 14 juin 1985 (CAAS; n° CELEX 42000A0922[02];</w:t>
      </w:r>
    </w:p>
    <w:p>
      <w:r>
        <w:t>- 5 -</w:t>
      </w:r>
    </w:p>
    <w:p>
      <w:r>
        <w:t>Journal officiel de l’Union européenne [ci-après: JO] L 239 du 22 septembre 2000, p. 19-62; [texte non publié au RS mais consultable sous « Recueil de textes juridiques sur les accords sectoriels avec l’UE », onglet « 8.1. Annexe A », in https://www.fedlex.admin.ch/fr/sector-specific-agreements/EU-acts- register/8]) s’appliquent également à l’extradition entre la Suisse et la France (v. arrêt du Tribunal pénal fédéral RR.2008.296 du 17 décembre 2008 consid. 1.3).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 UE).</w:t>
      </w:r>
    </w:p>
    <w:p>
      <w:r>
        <w:t>Pour le surplus, la loi fédérale sur l’entraide internationale en matière pénale du 20 mars 1981 (EIMP; RS 351.1) et son ordonnance d'exécution du 24 février 1982 (OEIMP; RS 351.11) règlent les questions qui ne sont pas régies, explicitement ou implicitement, par les dispositions conventionnelles (ATF 130 II 337 consid. 1; 128 II 355 consid. 1 et la jurisprudence citée [concernant la CEExtr]). Les art. 379 à 397 du Code de procédure pénale suisse du 5 octobre 2007 (CPP; RS 312.0) s’appliquent également, par analogie, à la présente procédure de recours (art. 48 al. 2 EIMP en relation avec l’art. 47 EIMP), de même que les dispositions de la loi fédérale sur la procédure administrative du 20 décembre 1968 (PA; RS 172.021; v. art. 12 al. 1 EIMP, art. 39 al. 2 let. b en lien avec l’art. 37 al. 2 let. a ch. 1 de la loi fédérale sur l’organisation des autorités pénales de la Confédération du 19 mars 2010 [LOAP; RS 173.71]).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TPF 2008 24 consid. 1.1; v. arrêt du Tribunal fédéral 1C_196/2021 précité consid. 3.4).</w:t>
      </w:r>
    </w:p>
    <w:p>
      <w:r>
        <w:rPr>
          <w:b/>
        </w:rPr>
        <w:t>E. 1.2</w:t>
      </w:r>
    </w:p>
    <w:p>
      <w:r>
        <w:t>La Cour des plaintes du Tribunal pénal fédéral est compétente pour connaître des recours dirigés contre les mandats d’arrêt à titre extraditionnel</w:t>
      </w:r>
    </w:p>
    <w:p>
      <w:r>
        <w:t>- 6 -</w:t>
      </w:r>
    </w:p>
    <w:p>
      <w:r>
        <w:t>(art. 37 al. 2 let. a ch. 1 LOAP mis en relation avec l’art. 48 al. 2 EIMP).</w:t>
      </w:r>
    </w:p>
    <w:p>
      <w:r>
        <w:rPr>
          <w:b/>
        </w:rPr>
        <w:t>E. 1.3</w:t>
      </w:r>
    </w:p>
    <w:p>
      <w:r>
        <w:t>Adressé par la personne visée dans les dix jours à compter de la notification du mandat susmentionné (art. 48 al. 2 EIMP), le recours est formellement recevable (v. supra let. E).</w:t>
      </w:r>
    </w:p>
    <w:p>
      <w:r>
        <w:rPr>
          <w:b/>
        </w:rPr>
        <w:t>E. 2</w:t>
      </w:r>
    </w:p>
    <w:p>
      <w:r>
        <w:t>La recourante invoque, d’une part, l’inadmissibilité de l’extradition (act. 8, p. 4 et 5; act. 11, p. 3 à 5) et, d’autre part, l’absence de risque de fuite (act. 1; act. 8, p. 2 à 4 ; act. 11, p. 2 s.). Elle requiert donc son élargissement.</w:t>
      </w:r>
    </w:p>
    <w:p>
      <w:r>
        <w:rPr>
          <w:b/>
        </w:rPr>
        <w:t>E. 2.1.1</w:t>
      </w:r>
    </w:p>
    <w:p>
      <w:r>
        <w:t>À titre liminaire, il convient de souligner que, de jurisprudence constante,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Kommentar zum Bundes- gesetz über das Verwaltungsverfahren, 2e éd. 2019, p. 487, 488; WALDMANN/BICKEL, in Waldmann/Weissenberger [édit.],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rPr>
          <w:b/>
        </w:rPr>
        <w:t>E. 2.1.2</w:t>
      </w:r>
    </w:p>
    <w:p>
      <w:r>
        <w:t>In casu, A. conclut, dans sa réplique, d’une part, à ce que la procédure soit considérée, au vu de son opposition du 1er avril 2022 aux deux jugements sur la base desquels l’extradition est requise, comme inadmissible au sens de l’art. 51 al. 1 EIMP (act. 11, p. 4 s.) et, d’autre part, à ce qu’une indemnité en raison de la détention qu’elle a subie lui soit allouée (act. 11, p. 6). S’agissant du premier allégué, la question de savoir s’il constitue un nouveau grief – partant irrecevable – ou des précisions en rapport avec les développements figurant dans le complément au recours peut demeurer indécise compte tenu des considérants ci-dessous. Quant au deuxième moyen, il est irrecevable puisque tardif. Même dans l’hypothèse – non</w:t>
      </w:r>
    </w:p>
    <w:p>
      <w:r>
        <w:t>- 7 -</w:t>
      </w:r>
    </w:p>
    <w:p>
      <w:r>
        <w:t>réalisée en l’espèce – où une telle conclusion aurait été recevable, elle aurait été, compte tenu des considérations qui s’ensuivent, rejetée, car infondée. La détention subie par la recourante ne peut, en aucun cas, être considérée comme illicite ou injustifiée, le mandat d’arrêt en vue de l’extradition trouvant son fondement dans les besoins de la présente procédure.</w:t>
      </w:r>
    </w:p>
    <w:p>
      <w:r>
        <w:rPr>
          <w:b/>
        </w:rPr>
        <w:t>E. 2.2.1</w:t>
      </w:r>
    </w:p>
    <w:p>
      <w:r>
        <w:t>Lorsque la Cour des plaintes du Tribunal pénal fédéral est saisie d’un recours fondé sur l’art. 48 al. 2 EIMP, elle n’a pas à se prononcer, à ce stade de la procédure, sur le bien-fondé de la demande d’extradition (ATF 130 II 306 consid. 2.3). Elle se borne à examiner la légalité de l’arrestation et si la détention aux fins d’extradition se justifie (ATF 111 IV 108 consid. 3). Les griefs ayant trait au bien-fondé de la demande d’extradition doivent en principe être soulevés dans le cadre de la procédure d’extradition proprement dite et pour laquelle sont compétents, en première instance, l’OFJ puis, sur recours, le Tribunal pénal fédéral et en dernière instance le Tribunal fédéral (aux conditions prévues à l’art. 84 de la loi sur le Tribunal fédéral du 17 juin 2005 [LTF; RS 173.110]). De jurisprudence constante, la détention de la personne poursuivie est la règle dans le cadre de la procédure d’extradition, la mise en liberté demeurant l’exception (ATF 130 II 306 consid. 2.2 et 2.4; 117 IV 359 consid. 2a; 111 IV 108 consid. 2; 109 IV 159 consid. 1; 109 Ib 58 consid. 2), cette dernière étant, d’ailleurs, soumise à des exigences plus strictes en matière de détention extraditionnelle que de détention provisoire prononcée dans le cadre d’une procédure pénale nationale (ATF 130 II 306 consid. 2.2; 111 IV 108 consid. 2; 109 Ib 223 consid. 2c; arrêt du Tribunal fédéral 1A.148/2004 du 21 juin 2004 consid. 2.2).</w:t>
      </w:r>
    </w:p>
    <w:p>
      <w:r>
        <w:rPr>
          <w:b/>
        </w:rPr>
        <w:t>E. 2.2.2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cependant pas exhaustive (ATF 130 II 306 consid. 2.1 et références citées). Enfin, la détention peut exceptionnellement prendre fin à n’importe quel stade de la procédure – si les circonstances le justifient –, la demande de mise en liberté pouvant être présentée en tout temps (art. 50 al. 3 EIMP).</w:t>
      </w:r>
    </w:p>
    <w:p>
      <w:r>
        <w:rPr>
          <w:b/>
        </w:rPr>
        <w:t>E. 2.2.3</w:t>
      </w:r>
    </w:p>
    <w:p>
      <w:r>
        <w:t>D’après la jurisprudence, l’exception du caractère manifestement</w:t>
      </w:r>
    </w:p>
    <w:p>
      <w:r>
        <w:t>- 8 -</w:t>
      </w:r>
    </w:p>
    <w:p>
      <w:r>
        <w:t>inadmissible de l’extradition ne trouve à s’appliquer que si l’une des hypothèses réservées aux art. 2 à 5 EIMP est sans aucun doute réalisée (arrêts du Tribunal pénal fédéral RH.2020.6 du 9 septembre 2020 consid. 5.2; RH.2019.19 du 17 octobre 2019 consid. 3.2.2; RR.2007.178 du 29 novembre 2007 consid. 4.6 et les références citées). L’art. 5 al. 1 let. b EIMP précise que la demande d’extradition est irrecevable si la sanction a été exécutée ou ne peut l’être selon le droit de l’État qui a statué.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130 II 306 consid. 2.2 et les références citées; arrêts du Tribunal pénal fédéral RH.2021.13 du 14 octobre 2021 consid. 3.1; RH.2017.5 du 28 juin 2017 consid. 2.1 et 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 2017 et les références citées).</w:t>
      </w:r>
    </w:p>
    <w:p>
      <w:r>
        <w:rPr>
          <w:b/>
        </w:rPr>
        <w:t>E. 2.2.4</w:t>
      </w:r>
    </w:p>
    <w:p>
      <w:r>
        <w:t>In casu, comme soulevé à juste titre par l’OFJ (act. 10, p. 5), le grief de la prescription a trait, en principe, à la procédure d’extradition au fond et ne saurait par conséquent être soulevé à ce stade (v. par exemple décisions du Tribunal pénal fédéral RH.2020.2 du 17 mars 2020 consid. 2.4 et référence citée; RH.2017.5 du 28 juin 2018 consid. 2.3 et 2.4). Cet aspect ne constitue pas, à ce stade, un motif de libération au sens des art. 47 ss EIMP, les autorités requérantes ayant confirmé, suite à l’arrestation de la recourante, que seule une des trois peines auxquelles elle a été condamnée est prescrite, le délai de prescription des deux autres (v. supra let. D) ayant été interrompu, conformément au droit procédural français, par le mandat d’arrêt européen (act. 10.12, p. 3 s.). Bien que ce grief touche au fond de la procédure d’extradition, il ne saurait être conclu, à ce stade, que l’extradition est « manifestement inadmissible » au sens de l’art. 51 al. 1 EIMP. Partant, il doit être écarté.</w:t>
      </w:r>
    </w:p>
    <w:p>
      <w:r>
        <w:t>En ce qui concerne le grief en lien avec la possibilité de faire opposition aux jugements rendus par les autorités françaises – opposition qui a effectivement eu lieu le 1er avril 2022 –, il n’a pas à être traité dans le cadre du recours formé contre le mandat d’arrêt en vue d’extradition, l’analyse de l’autorité de céans se limitant à l’examen de la légalité de l’arrestation et de la détention aux fins d’extradition qui en découle. S’agissant de la validité du mandat d’arrêt étranger, l’OFJ n’a, en principe, pas à examiner sa validité</w:t>
      </w:r>
    </w:p>
    <w:p>
      <w:r>
        <w:t>- 9 -</w:t>
      </w:r>
    </w:p>
    <w:p>
      <w:r>
        <w:t>dès lors que la détention extraditionnelle est requise. Les autorités helvétiques ne sont pas censées procéder, à ce stade, à l’examen de la validité des pièces produites si ce n’est « en cas de violation particulièrement flagrante du droit procédural étranger, faisant apparaître la demande d’extradition comme un abus de droit, et permettant au surplus de douter de la conformité de la procédure étrangère aux droits fondamentaux de la défense » (v. arrêt du Tribunal fédéral 1A.15/2002 du 5 mars 2002 consid. 3.2). Or, rien de tel n’est à craindre en l’occurrence. Certes la recourante a fait usage de la possibilité de faire opposition, en France, aux jugements condamnatoires, mais une telle démarche, postérieure au dépôt de la demande d’extradition, ne permet ni de mettre en doute la validité du mandat d’arrêt ni de retenir que l’État requérant envisagerait de retirer sa requête. En effet, il suffit de constater que la demande d’extradition française du 8 mars 2022 fait expressément référence à la possibilité pour A. de faire opposition, l’autorité requérante exposant d’ores et déjà – sans pour autant mettre en doute la validité du mandat d’arrêt – qu’une telle démarche permet de réexaminer l’affaire au fond et peut aboutir à l’infirmation de la décision initiale (act. 10.12, p. 4). De surcroît, aucune pièce au dossier ne permet de conclure que l’extradition serait, au vu de l’opposition, « manifestement inadmissible ». C’est donc en vain que la prénommée croit, à ce stade, pouvoir tirer argument du fait qu’elle a fait opposition aux jugements la condamnant. Il en découle que ce grief, mal fondé, doit également être écarté.</w:t>
      </w:r>
    </w:p>
    <w:p>
      <w:r>
        <w:rPr>
          <w:b/>
        </w:rPr>
        <w:t>E. 2.3</w:t>
      </w:r>
    </w:p>
    <w:p>
      <w:r>
        <w:t>La recourante soutient que les conditions relatives à la détention extraditionnelle ne sont pas remplies compte tenu de l’absence de volonté de soustraction ou d’entrave à l’extradition ou à l’instruction. Elle avance ne pas avoir tenté de se soustraire aux peines infligées en France puisque, lors de sa « prétendue fuite » les décisions condamnatoires n’avaient pas été prononcées. De plus, aucun indice ne permettrait de retenir qu’elle envisage de prendre la fuite, sa volonté étant de demeurer près de sa fille qui se trouve sur territoire helvétique. Enfin, le fait que mère et fille habitent en Suisse depuis plusieurs années devrait être pris en compte lors de l’analyse du risque de fuite. Au regard du principe de la proportionnalité A. considère que d’autres mesures peuvent se substituer à son arrestation au sens de l’art. 47 al. 2 EIMP (act. 1 ; act. 8, p. 2 à 4 ; act. 11, p. 2 s.).</w:t>
      </w:r>
    </w:p>
    <w:p>
      <w:r>
        <w:rPr>
          <w:b/>
        </w:rPr>
        <w:t>E. 2.3.1</w:t>
      </w:r>
    </w:p>
    <w:p>
      <w:r>
        <w:t>S’il y a danger de fuite, la personne poursuivie peut être astreinte au versement d’une somme d’argent afin de garantir sa présence (art. 238 al. 1 CPP,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w:t>
      </w:r>
    </w:p>
    <w:p>
      <w:r>
        <w:t>- 10 -</w:t>
      </w:r>
    </w:p>
    <w:p>
      <w:r>
        <w:t>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rPr>
          <w:b/>
        </w:rPr>
        <w:t>E. 2.3.2</w:t>
      </w:r>
    </w:p>
    <w:p>
      <w:r>
        <w:t>En matière extraditionnelle, la jurisprudence est très restrictive quand il s’agit d’apprécier les mesures substitutives à la détention aptes à parer le risque de fuite. Afin de le faire,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ou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t>Il en découle des exemples précités que la jurisprudence s’agissant du risque de fuite est restrictive (ATF 130 II 306 consid. 2), l’annulation du mandat d’arrêt en vue d’extradition, respectivement l’élargissement de la personne, ayant été admis dans de rares cas (ATF 130 II 306 consid. 2.4),</w:t>
      </w:r>
    </w:p>
    <w:p>
      <w:r>
        <w:t>- 11 -</w:t>
      </w:r>
    </w:p>
    <w:p>
      <w:r>
        <w:t>notamment lorsque les détenus avaient développé des attaches familiales et professionnelles étroites et de longue durée avec la Suisse (ATF 136 IV 20 consid. 2.3 ; arrêt du Tribunal fédéral 8G.45/2001 du 15 août 2001 consid. 3a arrêt du Tribunal fédéral RH.2015.5 du 9 avril 2015, consid. 3.1).</w:t>
      </w:r>
    </w:p>
    <w:p>
      <w:r>
        <w:rPr>
          <w:b/>
        </w:rPr>
        <w:t>E. 2.3.3</w:t>
      </w:r>
    </w:p>
    <w:p>
      <w:r>
        <w:t>A. propose le port du bracelet électronique, l’obligation de se présenter auprès des autorités ou encore « […] de faire des papiers d’identité officiels et de les déposer auprès de tout organisme désigné » (act. 8, p. 4).</w:t>
      </w:r>
    </w:p>
    <w:p>
      <w:r>
        <w:t>In casu, l’autorité de céans constate qu’il découle du dossier de la cause que la prénommée se contente d’exposer qu’elle vit sur territoire helvétique, avec sa fille, depuis plusieurs années et qu’elle ne risque pas de prendre la fuite puisque cela aboutirait à ne plus pouvoir contacter cette dernière qui étudie et a ses attaches en Suisse. N’en déplaise à la recourante, ces quelques éléments factuels ne permettent pas de contrecarrer le risque de fuite et cela pour les raisons qui suivent:</w:t>
      </w:r>
    </w:p>
    <w:p>
      <w:r>
        <w:t>a) La surveillance électronique qui doit être complémentaire au dépôt d’une caution suffisante – non proposée en l’espèce – ne suffit pas à elle seule à éviter la fuite de l’intéressée, mais uniquement à la constater (v. arrêt du Tribunal pénal fédéral RH.2018.12 du 31 août 2018 consid. 2.2.4, RH.2015.18 du 25 août 2015 consid. 6; RR.2011.133 du 29 juin 2011 consid. 3.4.2; RR.2009.321 du 11 novembre 2009 consid. 3.3).</w:t>
      </w:r>
    </w:p>
    <w:p>
      <w:r>
        <w:t>b) L’obligation de se rendre régulièrement auprès des autorités ou le dépôt des papiers d’identité ne sont pas non plus de nature à réduire suffisamment le risque de fuite si ce n’est, dans certains cas, lorsque de telles mesures sont combinées au dépôt d’une garantie substantielle, non proposée en l’espèce. En effet, les contrôles aux frontières ne sont pas systématiques, de sorte que de telles mesures ne permettent pas d’exclure le risque que la recourante puisse se soustraire à l’extradition (v. arrêts du Tribunal pénal fédéral RH 2021.1 du 9 mars 2022 consid. 3.4 et références citées; RH.2018.14 du 13 novembre 2018 consid. 2.2.4; RH.2018.12 du 31 août 2018 consid. 2.2.4; RH.2018.6 du 18 mai 2018 consid. 2.2.4) en tombant dans la clandestinité. Sur ce point, la Cour de céans considère que le risque est, en l’espèce, particulièrement accru compte tenu du fait qu’il semblerait que la recourante ait vécu en Suisse sans documents d’identité officiels puisqu’elle propose d’entamer les démarches nécessaires pour les faire avant de les déposer auprès des autorités (act. 8, p. 4).</w:t>
      </w:r>
    </w:p>
    <w:p>
      <w:r>
        <w:t>c) Les faits reprochés à A. ont abouti à l’imposition de peines pour une durée de plusieurs années. Quant à l’opposition aux condamnations, elle ne change rien au fait que les peines menaces susceptibles de lui être imposées</w:t>
      </w:r>
    </w:p>
    <w:p>
      <w:r>
        <w:t>- 12 -</w:t>
      </w:r>
    </w:p>
    <w:p>
      <w:r>
        <w:t>doivent être considérées comme d’une certaine gravité. Partant, le risque que la prénommée cherche à fuir le territoire helvétique afin d’échapper à l’extradition est élevé. Ce constat n’est que renforcé par le fait que l’intéressée ne démontre pas avoir un travail fixe, être ancrée de manière solide – voire définitive – en Suisse ou encore avoir d’importantes attaches dans le pays.</w:t>
      </w:r>
    </w:p>
    <w:p>
      <w:r>
        <w:t>Au vu des éléments qui précèdent, il ne se justifie pas qu’il soit, exceptionnellement, renoncé à la détention extraditionnelle, les mesures proposées n’étant pas à même de réduire le risque dont il est fait mention ci- avant. La Cour de céans ne voit d’ailleurs pas, compte tenu de l’ensemble des éléments à sa disposition, qu’il existerait d’autres mesures propres à réduire, dans une mesure suffisante, le risque précité. Partant, la requête de mise en liberté est rejetée.</w:t>
      </w:r>
    </w:p>
    <w:p>
      <w:r>
        <w:rPr>
          <w:b/>
        </w:rPr>
        <w:t>E. 3</w:t>
      </w:r>
    </w:p>
    <w:p>
      <w:r>
        <w:t>Il en découle que le recours, mal fondé, est rejeté dans la mesure de sa recevabilité.</w:t>
      </w:r>
    </w:p>
    <w:p>
      <w:r>
        <w:rPr>
          <w:b/>
        </w:rPr>
        <w:t>E. 4</w:t>
      </w:r>
    </w:p>
    <w:p>
      <w:r>
        <w:t>La recourante sollicite l’octroi de l’assistance judiciaire (RP.2022.15).</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Cette condition n’est en l’espèce pas réalisée. En effet, les considérations qui précèdent se fondent sur l’application de dispositions légales claires et sur des principes jurisprudentiels bien établis, que l’argumentation développée par A. n’était manifestement pas propre à remettre en question. De surcroît, les indications fournies par la prénommée sont insuffisantes puisqu’elles ne permettent pas à l’autorité de céans d’avoir une vision, ne serait-ce que partielle, de sa situation financière. Par conséquent, il faut admettre que la recourante n’a pas valablement établi son indigence. Sous cet angle, la requête d’assistance judiciaire aurait également été écartée.</w:t>
      </w:r>
    </w:p>
    <w:p>
      <w:r>
        <w:rPr>
          <w:b/>
        </w:rPr>
        <w:t>E. 4.2</w:t>
      </w:r>
    </w:p>
    <w:p>
      <w:r>
        <w:t>En règle générale, les frais de procédure comprenant l’émolument d’arrêté, les émoluments de chancellerie et les débours sont mis à la charge de la partie qui succombe (art. 63 al. 1 PA). Le montant de l’émolument est calculé</w:t>
      </w:r>
    </w:p>
    <w:p>
      <w:r>
        <w:t>- 13 -</w:t>
      </w:r>
    </w:p>
    <w:p>
      <w:r>
        <w:t>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1'000.--.</w:t>
      </w:r>
    </w:p>
    <w:p>
      <w:r>
        <w:rPr>
          <w:b/>
        </w:rPr>
        <w:t>E. 4.3</w:t>
      </w:r>
    </w:p>
    <w:p>
      <w:r>
        <w:t>Par ordonnance du 14 mars 2022, le juge instructeur a désigné Me Benjamin Schwab, avocat, comme mandataire d’office pour la présente procédure (réf.: RP.2022.15_a). Lorsque, comme en l’espèce, l’avocat ne fait pas parvenir le décompte de ses prestations avec sa dernière écriture, le montant des honoraires est fixé selon l’appréciation de la Cour de céans (art. 12 al. 2 RFPPF). Vu l’ampleur et la difficulté de la cause, et compte tenu des limites du RFPPF, une indemnité d’un montant de CHF 2'000.-- (TVA incluse) paraît justifiée. Ladite indemnité sera acquittée par la Caisse du Tribunal pénal fédéral, étant précisé que le recourante sera tenue de la rembourser si elle devait revenir à meilleure fortune (art. 65 al. 4 PA en lien avec l’art. 39 al. 2 let. b LOAP).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