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RH.2022.12 vom 5. Oktober 2022</w:t>
      </w:r>
    </w:p>
    <w:p>
      <w:r>
        <w:t>Bundesstrafgericht, 2022-10-05, DE</w:t>
      </w:r>
    </w:p>
    <w:p>
      <w:r>
        <w:rPr>
          <w:b/>
        </w:rPr>
        <w:t xml:space="preserve">Quelle: </w:t>
      </w:r>
      <w:r>
        <w:t>https://mcp.opencaselaw.ch/entscheid/bstger_RH.2022.12</w:t>
      </w:r>
    </w:p>
    <w:p>
      <w:r>
        <w:t>FR: TPF RH.2022.12 du 5 octobre 2022</w:t>
      </w:r>
    </w:p>
    <w:p>
      <w:r>
        <w:t>IT: TPF RH.2022.12 del 5 ottobre 2022</w:t>
      </w:r>
    </w:p>
    <w:p>
      <w:pPr>
        <w:pStyle w:val="Heading2"/>
      </w:pPr>
      <w:r>
        <w:t>Regeste</w:t>
      </w:r>
    </w:p>
    <w:p>
      <w:r>
        <w:t>Auslieferung an Rumänien; Auslieferungshaftbefehl (Art. 48 Abs. 2 IRSG); Unentgeltliche Rechtsvertretung</w:t>
      </w:r>
    </w:p>
    <w:p>
      <w:pPr>
        <w:pStyle w:val="Heading2"/>
      </w:pPr>
      <w:r>
        <w:t>Erwägungen</w:t>
      </w:r>
    </w:p>
    <w:p>
      <w:r>
        <w:rPr>
          <w:b/>
        </w:rPr>
        <w:t>E. 1.1</w:t>
      </w:r>
    </w:p>
    <w:p>
      <w:r>
        <w:t>Für den Auslieferungsverkehr zwischen der Schweiz und Rumänien sind pri- mär massgebend das Europäische Auslieferungsübereinkommen vom 13. Dezember 1957 (EAUe; SR 0.353.1) sowie das zu diesem Übereinkom- men am 15. Oktober 1975 ergangene erste Zusatzprotokoll (ZPI EAUe; SR 0.353.11), das am 17. März 1978 ergangene zweite Zusatzprotokoll (ZPII EAUe; SR 0.353.12) und das am 10. November 2010 ergangene dritte Zu- satzprotokoll (ZPIII EAUe; SR 0.353.13). Ausserdem gelangt der Beschluss 2007/533/JI des Rates vom 12. Juni 2007 über die Einrichtung, den Betrieb und die Nutzung des Schengener Informationssystems der zweiten Genera- tion (SIS-II-Beschluss; ABl. L 205 vom 7. August 2007, S. 63–84; Beschluss 2010/365/EU des Rates vom 29. Juni 2010 über die Anwendung der Best- immungen des Schengen-Besitzstands über das Schengener Informations- system in der Republik Bulgarien und Rumänien, ABl. L 166 vom 1. Juli 2010, S. 17–20), namentlich dessen Art. 26 bis 31 zur Anwendung.</w:t>
      </w:r>
    </w:p>
    <w:p>
      <w:r>
        <w:rPr>
          <w:b/>
        </w:rPr>
        <w:t>E. 1.2</w:t>
      </w:r>
    </w:p>
    <w:p>
      <w:r>
        <w:t>Soweit diese Staatsverträge bestimmte Fragen nicht abschliessend regeln, findet auf das Verfahren der Auslieferung und der vorläufigen Auslieferungs- haft ausschliesslich das Recht des ersuchten Staates Anwendung (Art. 22 EAUe), namentlich das Bundesgesetz vom 20. März 1981 über internatio- nale Rechtshilfe in Strafsachen (Rechtshilfegesetz, IRSG; SR 351.1) und die Verordnung vom 24. Februar 1982 über internationale Rechtshilfe in Straf- sachen (Rechtshilfeverordnung, IRSV; SR 351.11). Das innerstaatliche Recht gelangt nach dem Günstigkeitsprinzip auch dann zur Anwendung, wenn dieses geringere Anforderungen an die Auslieferung stellt (BGE 142 IV 250 E. 3; 140 IV 123 E. 2; 137 IV 33 E. 2.2.2; 136 IV 82 E. 3.1). Vorbehal- ten bleibt die Wahrung der Menschenrechte (BGE 135 IV 212 E. 2.3; 123 II 595 E. 7c; TPF 2016 65 E. 1.2; TPF 2008 24 E. 1.1)</w:t>
      </w:r>
    </w:p>
    <w:p>
      <w:r>
        <w:t>- 4 -</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 Im Übrigen gelten die allgemeinen Bestimmungen des IRSG und des Bundes- gesetzes vom 20. Dezember 1968 über das Verwaltungsverfahren (Verwal- tungsverfahrensgesetz, VwVG; SR 172.021; vgl. Art. 39 Abs. 2 lit. b i.V.m. Art. 37 Abs. 2 lit. a Ziff. 1 StBOG).</w:t>
      </w:r>
    </w:p>
    <w:p>
      <w:r>
        <w:rPr>
          <w:b/>
        </w:rPr>
        <w:t>E. 2.2</w:t>
      </w:r>
    </w:p>
    <w:p>
      <w:r>
        <w:t>Die vorliegende Beschwerde erweist sich als form- und fristgerecht. Die üb- rigen Eintretensvoraussetzungen geben keinen Anlass zu Bemerkungen. Auf die Beschwerde ist einzutreten.</w:t>
      </w:r>
    </w:p>
    <w:p>
      <w:r>
        <w:rPr>
          <w:b/>
        </w:rPr>
        <w:t>E. 3</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zuletzt u.a. den Entscheid des Bundesstraf- gerichts RH.2018.3 vom 20. Februar 2018 E. 3.2).</w:t>
      </w:r>
    </w:p>
    <w:p>
      <w:r>
        <w:rPr>
          <w:b/>
        </w:rPr>
        <w:t>E. 4</w:t>
      </w:r>
    </w:p>
    <w:p>
      <w:r>
        <w:t>Gegen den Auslieferungshaftbefehl wendet der Beschwerdeführer einzig ein, er habe keine Kenntnis vom Haftbefehl gegen ihn. Dieser sei ihm nie zugestellt worden. Er wisse auch nicht, wofür er verurteilt werde. Er sei 2017 schon nach Rumänien überführt worden und dort freigelassen worden (act. 1). Damit bringt er ausschliesslich Einwände zur Auslieferungssache vor. Einwände des Verfolgten gegen eine Auslieferung als solche bzw. ge- gen die Begründetheit des Auslieferungsersuchens sind im Haftbeschwer- deverfahren grundsätzlich nicht zu hören (vgl. BGE 111 Ib 147 E. 4; 111 IV 108 E. 3a). Einzig die offensichtliche Unzulässigkeit der Auslieferung könnte in diesem Zusammenhang einen materiell-rechtlichen Haftentlassungsgrund</w:t>
      </w:r>
    </w:p>
    <w:p>
      <w:r>
        <w:t>- 5 -</w:t>
      </w:r>
    </w:p>
    <w:p>
      <w:r>
        <w:t>bilden (Art. 51 Abs. 1 IRSG; vgl. BGE 111 IV 108 E. 3a; Urteil des Bundes- gerichts 1A.37/2007 vom 30. März 2007 E. 3; Entscheid des Bundesstrafge- richts RH.2018.1 vom 13. Februar 2018 E. 3 m.w.H.). Offensichtlich unzu- lässig kann ein Auslieferungsersuchen sein, wenn ohne jeden Zweifel und ohne weitere Abklärungen ein Ausschlussgrund vorliegt (BGE 111 IV 108 E. 3a; vgl. zuletzt u.a. Entscheid des Bundesstrafgerichts RH.2018.1 vom 13. Februar 2018 E. 3). Was der Beschwerdeführer einwendet, lässt indes eine Auslieferung nicht als offensichtlich unzulässig erscheinen. Die Be- schwerde erweist sich diesbezüglich als offensichtlich unbegründet.</w:t>
      </w:r>
    </w:p>
    <w:p>
      <w:r>
        <w:rPr>
          <w:b/>
        </w:rPr>
        <w:t>E. 5</w:t>
      </w:r>
    </w:p>
    <w:p>
      <w:r>
        <w:t>Andere Gründe, welche eine Auslieferung offensichtlich auszuschliessen oder sonst zu einer Aufhebung der Auslieferungshaft zu führen vermöchten, werden weder geltend gemacht noch sind solche ersichtlich. Die Be- schwerde erweist sich nach dem Gesagten offensichtlich als unbegründet, weshalb sie ohne Durchführung eines Schriftenwechsels (vgl. Art. 57 Abs. 1 VwVG e contrario) abzuweisen ist.</w:t>
      </w:r>
    </w:p>
    <w:p>
      <w:r>
        <w:rPr>
          <w:b/>
        </w:rPr>
        <w:t>E. 6.1</w:t>
      </w:r>
    </w:p>
    <w:p>
      <w:r>
        <w:t>Der Beschwerdeführer beantragt für das Beschwerdeverfahren «einen amt- lich ernannten Rechtsbeistand» (act. 1).</w:t>
      </w:r>
    </w:p>
    <w:p>
      <w:r>
        <w:rPr>
          <w:b/>
        </w:rPr>
        <w:t>E. 6.2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Nach der bundesgerichtlichen Rechtsprechung sind als aussichtslos Begeh- ren anzusehen, bei denen die Gewinnaussichten beträchtlich geringer sind als die Verlustgefahren. Dagegen gilt ein Begehren nicht als aussichtslos, wenn sich Gewinnaussichten und Verlustgefahren ungefähr die Waage hal- ten oder jene nur wenig geringer sind als diese (BGE 142 III 138 E. 5.1; 140 V 521 E. 9.1).</w:t>
      </w:r>
    </w:p>
    <w:p>
      <w:r>
        <w:rPr>
          <w:b/>
        </w:rPr>
        <w:t>E. 6.3</w:t>
      </w:r>
    </w:p>
    <w:p>
      <w:r>
        <w:t>Vorliegend erweist sich die Beschwerde offensichtlich als aussichtslos im Sinne von Art. 65 Abs. 1 VwVG. Demzufolge ist das Gesuch des Beschwer- deführers um unentgeltliche Rechtspflege und Verbeiständung ohne Über- prüfung von dessen finanzieller Situation abzuweisen. Bei der Festsetzung der Spruchgebühr kann gemäss Art. 63 Abs. 4bis VwVG der womöglich schwierigen finanziellen Situation des Beschwerdeführers Rechnung getra- gen werden.</w:t>
      </w:r>
    </w:p>
    <w:p>
      <w:r>
        <w:t>- 6 -</w:t>
      </w:r>
    </w:p>
    <w:p>
      <w:r>
        <w:rPr>
          <w:b/>
        </w:rPr>
        <w:t>E. 7</w:t>
      </w:r>
    </w:p>
    <w:p>
      <w:r>
        <w:t>Bei diesem Ausgang des Verfahrens sind die Gerichtskosten dem Be- schwerdeführer aufzuerlegen (Art. 63 Abs. 1 VwVG). Die reduzierte Ge- richtsgebühr ist auf Fr. 1'000.-- festzusetzen (vgl. Art. 63 Abs. 5 VwVG und Art. 73 StBOG sowie Art. 5 und Art. 8 Abs. 3 lit. a des Reglements des Bun- desstrafgerichts vom 31. August 2010 über die Kosten, Gebühren und Ent- 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