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RH.2022.11 vom 7. Juli 2022</w:t>
      </w:r>
    </w:p>
    <w:p>
      <w:r>
        <w:t>Bundesstrafgericht, 2022-07-07, DE</w:t>
      </w:r>
    </w:p>
    <w:p>
      <w:r>
        <w:rPr>
          <w:b/>
        </w:rPr>
        <w:t xml:space="preserve">Quelle: </w:t>
      </w:r>
      <w:r>
        <w:t>https://mcp.opencaselaw.ch/entscheid/bstger_RH.2022.11</w:t>
      </w:r>
    </w:p>
    <w:p>
      <w:r>
        <w:t>FR: TPF RH.2022.11 du 7 juillet 2022</w:t>
      </w:r>
    </w:p>
    <w:p>
      <w:r>
        <w:t>IT: TPF RH.2022.11 del 7 luglio 2022</w:t>
      </w:r>
    </w:p>
    <w:p>
      <w:pPr>
        <w:pStyle w:val="Heading2"/>
      </w:pPr>
      <w:r>
        <w:t>Regeste</w:t>
      </w:r>
    </w:p>
    <w:p>
      <w:r>
        <w:t>Auslieferung an Deutschland; Auslieferungshaftbefehl (Art. 48 Abs. 2 IRSG)</w:t>
      </w:r>
    </w:p>
    <w:p>
      <w:pPr>
        <w:pStyle w:val="Heading2"/>
      </w:pPr>
      <w:r>
        <w:t>Erwägungen</w:t>
      </w:r>
    </w:p>
    <w:p>
      <w:r>
        <w:rPr>
          <w:b/>
        </w:rPr>
        <w:t>E. 1.1</w:t>
      </w:r>
    </w:p>
    <w:p>
      <w:r>
        <w:t>Für den Auslieferungsverkehr zwischen der Schweiz und Deutschland sind primär das Europäische Auslieferungsübereinkommen vom 13. Dezem- ber 1957 (EAUe; SR 0.353.1), die hierzu ergangenen Zusatzprotokolle vom 17. März 1978 (ZPII EAUe; SR 0.353.12) und vom 10. November 2010 (ZPIII EAUe; SR 0.353.13) sowie der Vertrag vom 13. November 1969 zwi- schen der Schweizerischen Eidgenossenschaft und der Bundesrepublik Deutschland über die Ergänzung des EAUe und die Erleichterung seiner An- wendung (ZV EAUe; SR 0.353.913.61) massgebend. Überdies anwendbar sind das Schengener Durchführungsübereinkommen vom 14. Juni 1985 (SDÜ; CELEX-Nr. 42000A0922(02); ABl. L 239 vom 22. September 2000, S. 19-62; Text nicht publiziert in der SR, jedoch abrufbar auf der Webseite der Schweizerischen Eidgenossenschaft unter «Rechtssammlung zu den bi- lateralen Abkommen», 8.1 Anhang A; https://www.admin.ch/opc/de/euro- pean-union/international-agreements/008.html) i.V.m. dem Beschluss des Rates 2007/533/JI vom 12. Juni 2007 über die Einrichtung, den Betrieb und die Nutzung des SIS der zweiten Generation (SIS II), namentlich Art. 26-31 (CELEX-Nr. 32007D0533; ABl. L 205 vom 7. August 2007, S. 63-84; abruf- bar unter «Rechtssammlung zu den bilateralen Abkommen», 8.4 Weiterent- wicklungen des Schengen-Besitzstands), sowie diejenigen Bestimmungen des Übereinkommens vom 27. September 1996 über die Auslieferung zwi- schen den Mitgliedstaaten der Europäischen Union (EU-Auslieferungs- übereinkommen; CELEX-Nr. 41996A1023(02); Abl. C 313 vom 23. Okto- ber 1996, S. 12–23), welche gemäss dem Beschluss des Rates 2003/169/JI vom 27. Februar 2003 (CELEX-Nr. 32003D0169; Abl. L 67 vom 12. März 2003, S. 25 f.; abrufbar unter «Rechtssammlung zu den sektoriel- len Abkommen mit der EU», 8.2 Anhang B) eine Weiterentwicklung des Schengen-Besitzstands darstellen (d.h. die Art. 2, 6, 8, 9 und 13 des EU- Auslieferungsübereinkommens sowie dessen Art.1, soweit er für die anderen Artikel relevant ist). Die zwischen den Vertragsparteien geltenden weiterge- henden Bestimmungen aufgrund bilateraler oder multilateraler Abkommen bleiben unberührt (Art. 59 Abs. 2 SDÜ; Art. 1 Abs. 2 EU-Auslieferungs- übereinkommen).</w:t>
      </w:r>
    </w:p>
    <w:p>
      <w:r>
        <w:rPr>
          <w:b/>
        </w:rPr>
        <w:t>E. 1.2</w:t>
      </w:r>
    </w:p>
    <w:p>
      <w:r>
        <w:t>Soweit die Staatsverträge und Zusatzprotokolle bestimmte Fragen weder ausdrücklich noch stillschweigend regeln, bzw. das schweizerische Landes- recht geringere Anforderungen an die Rechtshilfe stellt (sog. Günstigkeitsprinzip; BGE 142 IV 250 E. 3; 140 IV 123 E. 2; 136 IV 82 E. 3.1; 135 IV 212 E. 2.3; ZIMMERMANN, La coopération judiciaire internationale en matière pénale, 5. Aufl. 2019, N. 229), sind das Bundesgesetz vom 20. März</w:t>
      </w:r>
    </w:p>
    <w:p>
      <w:r>
        <w:t>- 5 -</w:t>
      </w:r>
    </w:p>
    <w:p>
      <w:r>
        <w:t>1981 über internationale Rechtshilfe in Strafsachen (IRSG; SR 351.1) und die dazugehörige Verordnung vom 24. Februar 1982 (IRSV; SR 351.11) an- wendbar. Vorbehalten bleibt die Wahrung der Menschenrechte (BGE 139 II 65 E. 5.4; 135 IV 212 E. 2.3; 123 II 595 E. 7c; TPF 2016 65 E. 1.2; 2008 24 E. 1.1).</w:t>
      </w:r>
    </w:p>
    <w:p>
      <w:r>
        <w:rPr>
          <w:b/>
        </w:rPr>
        <w:t>E. 1.3</w:t>
      </w:r>
    </w:p>
    <w:p>
      <w:r>
        <w:t>Für das Beschwerdeverfahren gelten zudem die Art. 379-397 StPO sinnge- mäss (Art. 48 Abs. 2 i.V.m. Art. 47 IRSG) und die Bestimmungen des Bun- desgesetzes vom 20. Dezember 1968 über das Verwaltungsverfahren (Ver- waltungsverfahrensgesetz, VwVG; SR 172.021; vgl. Art. 39 Abs. 2 lit. b i.V.m. Art. 37 Abs. 2 lit. a Ziff. 1 des Bundesgesetzes vom 19. März 2010 über die Organisation der Strafbehörden des Bundes [Strafbehördenorgani- sationsgesetz, StBOG; SR 173.71]).</w:t>
      </w:r>
    </w:p>
    <w:p>
      <w:r>
        <w:rPr>
          <w:b/>
        </w:rPr>
        <w:t>E. 2.1</w:t>
      </w:r>
    </w:p>
    <w:p>
      <w:r>
        <w:t>Die verfolgte Person kann gegen den Auslieferungshaftbefehl des BJ innert zehn Tagen ab der schriftlichen Eröffnung bei der Beschwerdekammer des Bundesstrafgerichts Beschwerde führen (Art. 48 Abs. 2 i.V.m. Art. 25 Abs. 1 IRSG, Art. 50 Abs. 1 VwVG, Art. 37 Abs. 2 lit. a Ziff. 1 StBOG).</w:t>
      </w:r>
    </w:p>
    <w:p>
      <w:r>
        <w:rPr>
          <w:b/>
        </w:rPr>
        <w:t>E. 2.2</w:t>
      </w:r>
    </w:p>
    <w:p>
      <w:r>
        <w:t>Der Auslieferungshaftbefehl wurde dem Rechtsvertreter des Beschwerde- führers am 10. Juni 2022 eröffnet (act. 3.2). Als Verfolgter (vgl. Art. 11 Abs. 1 IRSG) ist der Beschwerdeführer zur Einreichung der vorliegenden Be- schwerde legitimiert. Auf die im Übrigen frist- und formgerecht erhobene Be- schwerde ist einzutreten.</w:t>
      </w:r>
    </w:p>
    <w:p>
      <w:r>
        <w:rPr>
          <w:b/>
        </w:rPr>
        <w:t>E. 3.1</w:t>
      </w:r>
    </w:p>
    <w:p>
      <w:r>
        <w:t>Die Verhaftung des Verfolgten während des ganzen Auslieferungsverfah- rens bildet die Regel (BGE 136 IV 20 E. 2.2 S. 23; 130 II 306 E. 2.2 S. 309). Eine Aufhebung des Auslieferungshaftbefehls sowie eine Haftentlassung rechtfertigen sich nur ausnahmsweise und unter strengen Voraussetzungen, wenn der Verfolgte sich voraussichtlich der Auslieferung nicht entzieht und die Strafuntersuchung nicht gefährdet (Art. 47 Abs. 1 lit. a IRSG), wenn er den sogenannten Alibibeweis erbringen und ohne Verzug nachweisen kann, dass er zur Zeit der Tat nicht am Tatort war (Art. 47 Abs. 1 lit. b IRSG), wenn er nicht hafterstehungsfähig ist oder andere Gründe vorliegen, welche eine weniger einschneidende Massnahme rechtfertigen (Art. 47 Abs. 2 IRSG), oder wenn sich die Auslieferung als offensichtlich unzulässig erweist (Art. 51 Abs. 1 IRSG). Diese Aufzählung ist nicht abschliessend (BGE 130 II 306 E. 2.1; 117 IV 359 E. 2a S. 361; vgl. zum Ganzen u.a. den Entscheid des Bundesstrafgerichts RH.2021.1 vom 18. Januar 2021 E. 3).</w:t>
      </w:r>
    </w:p>
    <w:p>
      <w:r>
        <w:t>- 6 -</w:t>
      </w:r>
    </w:p>
    <w:p>
      <w:r>
        <w:rPr>
          <w:b/>
        </w:rPr>
        <w:t>E. 3.2</w:t>
      </w:r>
    </w:p>
    <w:p>
      <w:r>
        <w:t>Die ausnahmsweise zu gewährende Haftentlassung ist an strengere Voraus- setzungen gebunden als der Verzicht auf die gewöhnliche Untersuchungs- haft in einem Strafverfahren oder die Entlassung aus einer solchen. Diese Regelung soll es der Schweiz ermöglichen, ihren staatsvertraglichen Auslie- ferungspflichten nachzukommen (vgl. BGE 130 II 306 E. 2.2 f.; 111 IV 108 E. 2; Entscheid des Bundesstrafgerichts RH.2015.14 vom 9. Juli 2015 E. 4.1). Die Rechtsprechung ist hinsichtlich der Verneinung von Fluchtgefahr überaus restriktiv und misst der Erfüllung dieser staatsvertraglichen Auslie- ferungspflichten im Vergleich zu den Interessen des Verfolgten ausseror- dentlich grosses Gewicht bei (vgl. BGE 130 II 306 E. 2 S. 310 ff. m.w.H.; Entscheid des Bundesstrafgerichts RH.2015.4 vom 23. Februar 2015 E. 5.2). Das Bundesgericht bejaht die Fluchtgefahr bei drohenden hohen Freiheits- strafen in der Regel sogar dann, wenn der Betroffene über eine Niederlas- sungsbewilligung und familiäre Bindungen in der Schweiz verfügt (BGE 136 IV 20 E. 2.3; Urteil des Bundesgerichts 8G.45/2001 vom 15. August 2001 E. 3a).</w:t>
      </w:r>
    </w:p>
    <w:p>
      <w:r>
        <w:rPr>
          <w:b/>
        </w:rPr>
        <w:t>E. 3.3</w:t>
      </w:r>
    </w:p>
    <w:p>
      <w:r>
        <w:t>Der Beschwerdeführer wurde mit Urteil des Amtsgerichts Altötting vom 20. August 2014 zu einer Freiheitsstrafe von 1 Jahr und 8 Monaten und mit Urteil des Amtsgerichts Eggenfelden vom 23. Oktober 2014 zu einer Frei- heitsstrafe von 1 Jahr und 2 Monaten wegen Betrugs in insgesamt 12 Fällen und vorsätzlichem Fahren ohne Fahrerlaubnis in drei Fällen verurteilt. Das Amtsgericht Altötting setzte mit Urteil vom 21. September 2017 die Gesamt- freiheitsstrafe auf 2 Jahre und 5 Monate fest. Alle drei Urteile erwuchsen in Rechtskraft (RR.2022.78, act. 6.2). Laut Auslieferungsersuchen beläuft sich die vom Beschwerdeführer zu verbüssende Restfreiheitsstrafe auf 326 Tage (RR.2022.78, act. 6.10).</w:t>
      </w:r>
    </w:p>
    <w:p>
      <w:r>
        <w:rPr>
          <w:b/>
        </w:rPr>
        <w:t>E. 3.4.1</w:t>
      </w:r>
    </w:p>
    <w:p>
      <w:r>
        <w:t>Der Beschwerdegegner erliess den hier angefochtenen Auslieferungshaft- befehl vom 7. Juni 2022 und begründete diesen damit, dass sich die Flucht- gefahr mit der Abweisung der Beschwerde gegen den Auslieferungsent- scheid zusätzlich erhöht habe, sodass die bezahlte Sicherheitsleistung und die Meldepflicht nicht mehr geeignet seien, die Flucht des Beschwerdefüh- rers zu verhindern (act. 3.1).</w:t>
      </w:r>
    </w:p>
    <w:p>
      <w:r>
        <w:rPr>
          <w:b/>
        </w:rPr>
        <w:t>E. 3.4.2</w:t>
      </w:r>
    </w:p>
    <w:p>
      <w:r>
        <w:t>Der Beschwerdeführer bestreitet das Vorliegen einer Fluchtgefahr und bringt vor, er habe sich seit seiner Haftentlassung anfangs April 2022 bis zur er- neuten Inhaftierung vorbildlich verhalten und habe sich monatlich bei der Zu- ger Kantonspolizei gemeldet. Er sei auch bereit, die zu leistende Kaution auf Fr. 40'000.-- zu erhöhen, sollte dies notwendig sein. Mit der erneuten Inhaf- tierung schiesse der Beschwerdegegner über das Ziel hinaus. Er habe kein</w:t>
      </w:r>
    </w:p>
    <w:p>
      <w:r>
        <w:t>- 7 -</w:t>
      </w:r>
    </w:p>
    <w:p>
      <w:r>
        <w:t>Interesse, die Schweiz zu verlassen. Er wolle insbesondere an der Einver- nahme vom 12. Juli 2022 im in Bern gegen ihn laufenden Strafverfahren teil- nehmen (act. 1, S. 4 ff.).</w:t>
      </w:r>
    </w:p>
    <w:p>
      <w:r>
        <w:rPr>
          <w:b/>
        </w:rPr>
        <w:t>E. 3.5</w:t>
      </w:r>
    </w:p>
    <w:p>
      <w:r>
        <w:t>Die Beschwerdekammer bejahte die Fluchtgefahr bereits im Entscheid RH.2022.1 vom 9. März 2022, auf dessen Ausführungen an dieser Stelle vollumfänglich verwiesen werden kann (RH.2022.1, act. 10). Mit Entscheid RR.2022.78 vom 2. Juni 2022 hat die Beschwerdekammer die vom Be- schwerdeführer erhobene Beschwerde gegen den Auslieferungsentscheid abgewiesen. Wie der Beschwerdegegner im Auslieferungshaftbefehl vom</w:t>
      </w:r>
    </w:p>
    <w:p>
      <w:r>
        <w:rPr>
          <w:b/>
        </w:rPr>
        <w:t>E. 3.6</w:t>
      </w:r>
    </w:p>
    <w:p>
      <w:r>
        <w:t>Andere Gründe, welche eine Auslieferung offensichtlich auszuschliessen oder sonst zu einer Aufhebung der Auslieferungshaft zu führen vermöchten, werden vom Beschwerdeführer weder geltend gemacht noch sind solche er- sichtlich.</w:t>
      </w:r>
    </w:p>
    <w:p>
      <w:r>
        <w:rPr>
          <w:b/>
        </w:rPr>
        <w:t>E. 3.7</w:t>
      </w:r>
    </w:p>
    <w:p>
      <w:r>
        <w:t>Die Beschwerde ist nach dem Gesagten abzuweisen.</w:t>
      </w:r>
    </w:p>
    <w:p>
      <w:r>
        <w:t>- 8 -</w:t>
      </w:r>
    </w:p>
    <w:p>
      <w:r>
        <w:t>4. Bei diesem Ausgang des Verfahrens sind die Gerichtskosten dem Be- schwerdeführer aufzuerlegen (vgl. Art. 63 Abs. 1 VwVG). Die Gerichtsge- bühr ist auf Fr. 2'000.-- festzusetzen (vgl. Art. 63 Abs. 5 VwVG und Art. 73 StBOG sowie Art. 5 und 8 Abs. 3 lit. a BStKR).</w:t>
      </w:r>
    </w:p>
    <w:p>
      <w:r>
        <w:t>- 9 -</w:t>
      </w:r>
    </w:p>
    <w:p>
      <w:r>
        <w:rPr>
          <w:b/>
        </w:rPr>
        <w:t>E. 7</w:t>
      </w:r>
    </w:p>
    <w:p>
      <w:r>
        <w:t>Juni 2022 richtig ausführt, hat sich die bestehende Fluchtgefahr mit Erlass des Entscheides RR.2022.78 vom 2. Juni 2022 weiter erhöht (vgl. Entscheid des Bundesstrafgerichts RH.2017.14 vom 17. August 2017 E. 4.3). Denn im Unterschied zum Beginn des Auslieferungsverfahrens ist die Möglichkeit, nach Deutschland ausgeliefert zu werden, für den Beschwerdeführer in un- mittelbare Nähe gerückt. Dies umso mehr, als das Bundesgericht auf Be- schwerden auf dem Gebiet der internationalen Rechtshilfe nur eintritt, wenn es sich um einen besonders bedeutenden Fall handelt (vgl. Art. 84 Abs. 2 BGG). Damit stieg die bereits als hoch zu wertende Fluchtgefahr, der mit keinen geeigneten Ersatzmassnahmen ausreichend begegnet werden kann. Die vom Beschwerdeführer angebotene Kautionsleistung von Fr. 40'000.-- erachtet das BJ jedenfalls als nicht ausreichend (act. 1, S. 5; act. 3, S. 4). Unter diesen Umständen ist der wegen Fluchtgefahr erlassene Ausliefe- rungshaftbefehl vom 7. Juni 2022 nicht zu beanstanden. Angemerkt sei, dass nachdem das Bundesgericht auf die vom Beschwerdeführer erhobene Be- schwerde gegen den Entscheid der Beschwerdekammer RR.2022.78 mit Ur- teil 1C_363/2022 vom 23. Juni 2022 nicht eingetreten ist, das Auslieferungs- verfahren nunmehr rechtskräftig beendet ist. Dementsprechend wird der Be- schwerdeführer nach Abschluss des vorliegenden Verfahrens an Deutsch- land ausgeliefert werden, weshalb sich die bereits als hoch einzustufende Fluchtgefahr erheblich erhöht hat.</w:t>
      </w:r>
    </w:p>
    <w:p>
      <w:r>
        <w:t>Im Lichte der restriktiven Rechtsprechung zur Fluchtgefahr ist diese zum ge- genwärtigen Zeitpunkt als sehr hoch einzustufen. Im Gegensatz zur Aus- gangslage zu Beginn des Auslieferungsverfahrens kann die erhöhte Flucht- gefahr nicht mehr durch Ersatzmassnahmen gebannt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