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RH.2021.8 vom 5. August 2021</w:t>
      </w:r>
    </w:p>
    <w:p>
      <w:r>
        <w:t>Bundesstrafgericht, 2021-08-05, DE</w:t>
      </w:r>
    </w:p>
    <w:p>
      <w:r>
        <w:rPr>
          <w:b/>
        </w:rPr>
        <w:t xml:space="preserve">Quelle: </w:t>
      </w:r>
      <w:r>
        <w:t>https://mcp.opencaselaw.ch/entscheid/bstger_RH.2021.8</w:t>
      </w:r>
    </w:p>
    <w:p>
      <w:r>
        <w:t>FR: TPF RH.2021.8 du 5 août 2021</w:t>
      </w:r>
    </w:p>
    <w:p>
      <w:r>
        <w:t>IT: TPF RH.2021.8 del 5 agosto 2021</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so- wie der Vertrag vom 13. November 1969 zwischen der Schweizerischen Eidge- nossenschaft und der Bundesrepublik Deutschland über die Ergänzung des EAUe und die Erleichterung seiner Anwendung (ZV EAUe; SR 0.353.913.61) massge- bend. Überdies anwendbar sind das Schengener Durchführungsübereinkommen vom 14. Juni 1985 (SDÜ; CELEX-Nr. 42000A0922(02); ABl. L 239 vom 22. Sep- tember 2000, S. 19-62; Text nicht publiziert in der SR, jedoch abrufbar auf der Webseite der Schweizerischen Eidgenossenschaft unter «Rechtssammlung zu den bilateralen Abkommen», 8.1 Anhang A; https://www.admin.ch/opc/de/euro- pean-union/international-agreements/008.html) i.V.m. dem Beschluss des Rates 2007/533/JI vom 12. Juni 2007 über die Einrichtung, den Betrieb und die Nutzung des SIS der zweiten Generation (SIS II), namentlich Art. 26-31 (CELEX-Nr. 32007D0533; ABl. L 205 vom 7. August 2007, S. 63-84; abrufbar unter «Rechts- sammlung zu den bilateralen Abkommen», 8.4 Weiterentwicklungen des Schen- gen-Besitzstands), sowie diejenigen Bestimmungen des Übereinkommens vom 27. September 1996 über die Auslieferung zwischen den Mitgliedstaaten der Europäischen Union (EU-Auslieferungsübereinkommen; CELEX-Nr. 41996A1023(02); ABl. C 313 vom 23. Oktober 1996, S. 12-23) i.V.m. dem Be- schluss des Rates 2003/169/JI vom 27. Februar 2003 (CELEX-Nr. 32003D0169; ABl. L 67 vom 12. März 2003, S. 25 f.; abrufbar unter «Rechtssammlung zu den bilateralen Abkommen», 8.2 Anhang B), wobei die zwischen den Vertragsparteien geltenden weitergehenden Bestimmungen aufgrund bilateraler oder multilateraler Abkommen unberührt bleiben (Art. 59 Abs. 2 SDÜ; Art. 1 Abs. 2 EU-Auslieferungs- übereinkommen).</w:t>
      </w:r>
    </w:p>
    <w:p>
      <w:r>
        <w:rPr>
          <w:b/>
        </w:rPr>
        <w:t>E. 1.2</w:t>
      </w:r>
    </w:p>
    <w:p>
      <w:r>
        <w:t>Soweit die staatsvertraglichen Bestimmungen gewisse Fragen nicht abschlies- send regeln, findet auf das Verfahren der Auslieferung ausschliesslich das Recht des ersuchten Staates Anwendung (Art. 22 EAUe), namentlich das Bundesgesetz vom 20. März 1981 über internationale Rechtshilfe in Strafsachen (Rechtshilfege- setz, IRSG; SR 351.1) und die dazugehörige Verordnung vom 24. Februar 1982 (Rechtshilfeverordnung, IRSV; SR 351.11). Das innerstaatliche Recht gelangt nach dem Günstigkeitsprinzip auch dann zur Anwendung, wenn dieses geringere Anforderungen an die Rechtshilfe stellt (BGE 142 IV 250 E. 3; 140 IV 123 E. 2; 137 IV 33 E. 2.2.2; 136 IV 82 E. 3.1). Vorbehalten bleibt die Wahrung der Men- schenrechte (BGE 135 IV 212 E. 2.3; 123 II 595 E. 7c; TPF 2016 65 E. 1.2; 2008 24 E. 1.1).</w:t>
      </w:r>
    </w:p>
    <w:p>
      <w:r>
        <w:t>- 7 -</w:t>
      </w:r>
    </w:p>
    <w:p>
      <w:r>
        <w:rPr>
          <w:b/>
        </w:rPr>
        <w:t>E. 1.3</w:t>
      </w:r>
    </w:p>
    <w:p>
      <w:r>
        <w:t>Für das Beschwerdeverfahren gelten zudem die Art. 379-397 StPO sinngemäss (Art. 48 Abs. 2 i.V.m. Art. 47 IRSG) und die Bestimmungen des Bundesgesetzes vom 20. Dezember 1968 über das Verwaltungsverfahren (Verwaltungsverfahrens- gesetz, VwVG; SR 172.021; vgl. Art. 39 Abs. 2 lit. b i.V.m. Art. 37 Abs. 2 lit. a Ziff. 1 des Bundesgesetzes vom 19. März 2010 über die Organisation der Strafbehörden des Bundes [Strafbehördenorganisationsgesetz, StBOG; SR 173.71]).</w:t>
      </w:r>
    </w:p>
    <w:p>
      <w:r>
        <w:rPr>
          <w:b/>
        </w:rPr>
        <w:t>E. 2</w:t>
      </w:r>
    </w:p>
    <w:p>
      <w:r>
        <w:t>Gegen den Auslieferungshaftbefehl des BJ kann der Verfolgte innert zehn Tagen ab der schriftlichen Eröffnung bei der Beschwerdekammer des Bundesstrafge- richts Beschwerde erheben (Art. 48 Abs. 2 IRSG). Der angefochtene Ausliefe- rungshaftbefehl ist dem Beschwerdeführer am 7. Juli 2021 ausgehändigt worden (act. 1.B). Die am 19. Juli 2021 erhobene Beschwerde erweist sich als fristgerecht. Die übrigen Eintretensvoraussetzungen geben keinen Anlass zu Bemerkungen. Auf die Beschwerde ist einzutreten.</w:t>
      </w:r>
    </w:p>
    <w:p>
      <w:r>
        <w:t>Die Dokumentation und Aktenführung bzw. die Akteneinsicht bilden demgegen- über nicht Gegenstand der angefochtenen Verfügung, weshalb auf den entspre- chenden Antrag des Beschwerdeführers nicht einzugehen ist.</w:t>
      </w:r>
    </w:p>
    <w:p>
      <w:r>
        <w:rPr>
          <w:b/>
        </w:rPr>
        <w:t>E. 3</w:t>
      </w:r>
    </w:p>
    <w:p>
      <w:r>
        <w:t>Die Verhaftung des Verfolgten während des ganzen Auslieferungsverfahrens bil- det die Regel (BGE 136 IV 20 E. 2.2; 130 II 306 E. 2.2). Eine Aufhebung des Aus- lieferungshaftbefehls sowie eine Haftentlassung rechtfertigen sich nur ausnahms- weise und unter strengen Voraussetzungen, wenn der Verfolgte sich voraussicht- 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 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 strafgerichts RH.2018.3 vom 20. Februar 2018 E. 3.2).</w:t>
      </w:r>
    </w:p>
    <w:p>
      <w:r>
        <w:t>Offensichtlich unzulässig kann ein Auslieferungsersuchen sein, wenn ohne jeden Zweifel und ohne weitere Abklärungen ein Ausschlussgrund vorliegt (vgl. BGE 111 IV 108 E. 3a). Im Übrigen sind Vorbringen gegen die Auslieferung als solche oder gegen die Begründetheit des Auslieferungsbegehrens nicht im vorliegenden Be- schwerdeverfahren, sondern im eigentlichen Auslieferungsverfahren zu prüfen (vgl. MOREILLON/DUPUIS/MAZOU, La pratique judiciaire du Tribunal pénal fédéral,</w:t>
      </w:r>
    </w:p>
    <w:p>
      <w:r>
        <w:t>- 8 -</w:t>
      </w:r>
    </w:p>
    <w:p>
      <w:r>
        <w:t>in Journal des Tribunaux 2009 IV 111 Nr. 190 und 2008 IV 66 Nr. 322 je m.w.H. auf die Rechtsprechung).</w:t>
      </w:r>
    </w:p>
    <w:p>
      <w:r>
        <w:t>Die ausnahmsweise zu gewährende Haftentlassung ist an strengere Vorausset- zungen gebunden als der Verzicht auf die gewöhnliche Untersuchungshaft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Juli 2015 E. 4.1).</w:t>
      </w:r>
    </w:p>
    <w:p>
      <w:r>
        <w:rPr>
          <w:b/>
        </w:rPr>
        <w:t>E. 4.1</w:t>
      </w:r>
    </w:p>
    <w:p>
      <w:r>
        <w:t>Der Beschwerdeführer bringt in einem ersten Punkt vor, dass das Erfordernis der doppelten Strafbarkeit mit Bezug auf die ihm vorgeworfenen Sachverhalte offen- sichtlich nicht erfüllt sei. Weiter bemängelt er die deutschen Haftbefehle in ver- schiedener Hinsicht (act. 1 S. 4 ff.). In seiner Beschwerdereplik kritisiert er das Vorgehen des Beschwerdegegners, nicht die Eidgenössische Steuerverwaltung konsultiert zu haben (act. 1 S. 1 f.). Weiter gebe der Beschwerdegegner in der Beschwerdeantwort den Sachverhaltsvorwurf der deutschen Behörden falsch und aktenwidrig wieder (act. 7 S. 2 ff.). Sodann habe jener offensichtlich nicht verstan- den, worum es bei den CumEx-Geschäften aus Schweizer Sicht gehe (act. 7 S. 4 ff.).</w:t>
      </w:r>
    </w:p>
    <w:p>
      <w:r>
        <w:rPr>
          <w:b/>
        </w:rPr>
        <w:t>E. 4.2</w:t>
      </w:r>
    </w:p>
    <w:p>
      <w:r>
        <w:t>Der Beschwerdeführer zeigt mit seiner auf zehn Seiten in der Beschwerde und auf fünf Seiten in der Replik vorgetragenen Kritik keine Gründe auf, welche seine Aus- lieferung ohne jeden Zweifel und ohne weitere Abklärungen als offensichtlich un- zulässig erscheinen liesse. Es kann vollumfänglich auf die zutreffenden Ausfüh- rungen des Beschwerdegegners in der Beschwerdeantwort verwiesen werden. Bei einer prima facie Beurteilung der erhobenen Vorwürfe (s. supra lit. A grob zusam- mengefasst; im Detail s. act. 6.1 bis 6.3) kann der Betrugstatbestand gemäss Art. 146 StGB zu Lasten der öffentlichen Hand ohne jeden Zweifel und ohne wei- tere Abklärungen nicht ausgeschlossen werden. Im Gegenteil scheint eine Straf- barkeit nach Schweizer Recht bei einer prima facie Beurteilung gegeben zu sein. So begeht gemäss BGE 110 IV 24 einen gemeinrechtlichen Betrug zum Nachteil des betroffenen Gemeinwesens, wer sich aus eigener Initiative dazu entschliesst, sich durch Irreführung der Behörden unrechtmässig zu bereichern, indem er auf raffinierte Weise fiktive Rückerstattungsansprüche existierender oder erfundener Personen geltend macht und mittels falscher Urkunden die Auszahlung erwirkt. Dem ist beizufügen, dass der gemeinrechtliche Betrug (wie im Übrigen auch der Abgabebetrug; s. BGE 139 II 404 E. 9.4 S. 435 m.H.) nicht die Verwendung fal- scher oder verfälschter Urkunden voraussetzt. Es sind auch andere Fälle arglisti- ger Täuschung denkbar. Vorliegend soll es gemäss den Angaben der deutschen</w:t>
      </w:r>
    </w:p>
    <w:p>
      <w:r>
        <w:t>- 9 -</w:t>
      </w:r>
    </w:p>
    <w:p>
      <w:r>
        <w:t>Behörden nicht um Täuschung über den Umfang des Rückerstattungsanspruchs, sondern um an sich ungerechtfertigte Steuerrückerstattungen unter arglistiger Täuschung des deutschen Fiskus gehen. Gegen eine Subsumtion (prima facie) der gegen den Beschwerdeführer erhobenen Vorwürfe unter Art. 146 StGB führt der Beschwerdeführer den steuerrechtlichen Hinterziehungstatbestand als lex specialis ins Feld (s. act. 1 S. 9). Er zeigt aber nicht auf, worin ein Fiskaldelikt als Hinterziehungstatbestand liegen soll, wenn die Verrechnungssteuer per se – wie von ihm selber argumentiert – nicht geschuldet ist. Soweit sich der Beschwerde- führer auf die Legalität der beurteilten CumEx-Geschäfte beruft (act. 7 S. 6), legt er nicht dar, inwiefern dies die von ihm bewirkten ungerechtfertigten Steuerrücker- stattungen und der ihm vorgeworfene Betrug zum Nachteil der öffentlichen Hand offensichtlich ausschliessen soll. Darüber hinaus hält der Beschwerdeführer der rechtlichen Würdigung des Beschwerdegegners nichts Substantielles entgegen, welche sich auf die bundesgerichtliche Rechtsprechung, namentlich zur Ausliefe- rung wegen Rückerstattungen der deutschen Kapitalertragssteuer (Urteil des Bun- desgerichts 1A.297/2005 vom 13. Januar 2006 E. 3.2 m.w.H.) stützt. Auch auf- grund der weiteren Einwendungen des Beschwerdeführers sind keine Anhalts- punkte ersichtlich, die darauf deuten würden, dass eine Auslieferung des Be- schwerdeführers offensichtlich unzulässig i.S.v. Art. 51 Abs. 1 IRSG wäre. Auf seine Rügen betreffend die entsprechenden Auslieferungsvoraussetzungen wird daher gegebenenfalls im Rahmen des Auslieferungsentscheides näher einzuge- hen sein.</w:t>
      </w:r>
    </w:p>
    <w:p>
      <w:r>
        <w:rPr>
          <w:b/>
        </w:rPr>
        <w:t>E. 5.1</w:t>
      </w:r>
    </w:p>
    <w:p>
      <w:r>
        <w:t>Der Beschwerdeführer bestreitet das Vorliegen von Fluchtgefahr und ersucht das Gericht, ihn wegen seines angeschlagenen Gesundheitszustandes aus der Haft zu entlassen, allenfalls unter Anordnung von Ersatzmassnahmen (act. 1 S. 14 ff.).</w:t>
      </w:r>
    </w:p>
    <w:p>
      <w:r>
        <w:t>Er bringt zusammengefasst vor, er habe sich dem deutschen Strafverfahren ge- stellt. Er sei 70 Jahre alt und lebe seit knapp zehn Jahren zusammen mit seiner Ehefrau und dem Enkel in der Schweiz. Seine Ehefrau sei auf seine Mithilfe ange- wiesen. Er habe auch schon vor langer Zeit erklärt, er werde sich dem Ausliefe- rungsverfahren nicht durch Flucht entziehen. Sein schwer angeschlagener Ge- sundheitszustand liesse eine Absetzung in ein anderes Land ohnehin nicht zu, sei er doch nicht reisefähig, was amtsärztlich bestätigt sei. Er hätte ausreichend Zeit und Gelegenheit gehabt, ab Herbst 2020 unterzutauchen, wenn er dies denn tat- sächlich beabsichtigt hätte (act. 1 S. 14 ff.).</w:t>
      </w:r>
    </w:p>
    <w:p>
      <w:r>
        <w:t>Was die beantragten Ersatzmassnahmen anbelangt, führt er aus, er habe dem Beschwerdegegner die ehelichen Einkommens- und Vermögensverhältnisse um- fassend offengelegt, soweit dies unter den gegebenen Haftumständen möglich sei.</w:t>
      </w:r>
    </w:p>
    <w:p>
      <w:r>
        <w:t>- 10 -</w:t>
      </w:r>
    </w:p>
    <w:p>
      <w:r>
        <w:t>Er habe dem Beschwerdegegner angeboten mitzuteilen, welchen Betrag dieser für eine Haftkaution angemessen halte. Er überlasse es dem Gericht, die Höhe einer allfälligen Kaution festzulegen (act. 1 S. 17 f.; act. 7 S. 6 f.). Das Argument, er könnte noch über weitere Vermögenswerte verfügen, liesse sich grundsätzlich in jedem Fall vorbringen und damit könnte jede Kautionsleistung verweigert werden (act. 7 S. 7).</w:t>
      </w:r>
    </w:p>
    <w:p>
      <w:r>
        <w:rPr>
          <w:b/>
        </w:rPr>
        <w:t>E. 5.2</w:t>
      </w:r>
    </w:p>
    <w:p>
      <w:r>
        <w:t>Die bundesgerichtliche Rechtsprechung zur Verneinung von Fluchtgefahr ist über- aus restriktiv und misst der Erfüllung der staatsvertraglichen Auslieferungspflichten im Vergleich zu den Interessen des Verfolgten ausserordentlich grosses Gewicht bei. Das Bundesgericht bejaht die Fluchtgefahr bei drohenden, hohen Freiheits- strafen in der Regel sogar dann, wenn der Betroffene über eine Niederlassungs- bewilligung und familiäre Bindungen in der Schweiz verfügt (BGE 136 IV 20 E. 2.3; Urteil des Bundesgerichts 8G.45/2001 vom 15. August 2001 E. 3a).</w:t>
      </w:r>
    </w:p>
    <w:p>
      <w:r>
        <w:t>Um Fluchtgefahr ausreichend zu bannen, werden Ersatzmassnahmen für Auslie- ferungshaft wie Abgabe der Reisedokumente, Schriftensperre, Meldepflicht und Electronic Monitoring angesichts der einfachen Möglichkeit, sich ins Ausland ab- zusetzen, nach konstanter Rechtsprechung nur in Kombination mit einer sehr sub- stantiellen Sicherheitsleistung als überhaupt geeignet erachtet (Entscheide des Bundesstrafgerichts RH.2020.10 vom 23. September 2020 E. 4.2; RH.2020.9 vom 11. September 2020 E. 5.2; RH.2020.5 vom 12. August 2020 E. 6.4; jeweils m.w.H.).</w:t>
      </w:r>
    </w:p>
    <w:p>
      <w:r>
        <w:rPr>
          <w:b/>
        </w:rPr>
        <w:t>E. 5.3</w:t>
      </w:r>
    </w:p>
    <w:p>
      <w:r>
        <w:t>Dem Beschwerdeführer droht im Falle einer Auslieferung und einer Verurteilung in Deutschland eine mehrjährige Freiheitsstrafe. Der Beschwerdegegner hat im Rah- men seiner Beschwerdeantwort mit umfassender Begründung die erhebliche Fluchtgefahr dargelegt, sich mit den einzelnen Gegenargumenten des Beschwer- deführers auseinandergesetzt und diese abschliessend entkräftet (act. 6 E. 4.2 S. 5 f.). Die Ausführungen des Beschwerdegegners erweisen sich auf der ganzen Linie als zutreffend und bedürfen keiner weiteren Ergänzung. Um unnötige Wie- derholungen zu vermeiden, ist daher integral darauf zu verweisen.</w:t>
      </w:r>
    </w:p>
    <w:p>
      <w:r>
        <w:rPr>
          <w:b/>
        </w:rPr>
        <w:t>E. 5.4</w:t>
      </w:r>
    </w:p>
    <w:p>
      <w:r>
        <w:t>Den zutreffenden sowie vollständigen Ausführungen des Beschwerdegegners zu den beantragten Ersatzmassnahmen ist ebenfalls im Einzelnen beizupflichten (act. 6 E. 4.2 S. 6) und auch hier ist vollumfänglich darauf zu verweisen, um unnö- tige Wiederholungen zu vermeiden. Namentlich kann den einzelnen Ausführungen des Beschwerdegegners zur angebotenen Kaution von CHF 100‘000.--, welche zu Recht als völlig ungenügend beurteilt wurde, und zu den finanziellen Verhältnissen des Beschwerdeführers gefolgt werden. Gegenüber den Schweizer Steuerbehör- den deklarierte der Beschwerdeführer zusammen mit seiner Ehefrau offenbar ein Gesamtvermögen in der Schweiz und im Ausland von ca. CHF 5,5 Mio. (act. 6.16).</w:t>
      </w:r>
    </w:p>
    <w:p>
      <w:r>
        <w:t>- 11 -</w:t>
      </w:r>
    </w:p>
    <w:p>
      <w:r>
        <w:t>Dabei wird dem Beschwerdeführer in Deutschland vorgeworfen, zusammen mit weiteren Angeklagten ungerechtfertigte Steuerrückerstattungen in der Höhe von gesamthaft über EUR 391 Mio. erwirkt zu haben. Gemäss den deutschen Behör- den soll der Beschwerdeführer die mutmasslichen Taterträge über eine undurch- sichtige Struktur von Offshore-Gesellschaft weiterverschoben haben, um diese dem Zugriff der Finanz- und Strafverfolgungsbehörden zu entziehen. Wenn der Beschwerdegegner davon ausgehend abschliessend festhält, es sei daher nicht auszuschliessen, dass noch weitere Vermögenswerte existieren, welche den schweizerischen Steuerbehörden unbekannt seien, dann ist ihm ebenfalls zuzu- stimmen. Die vom Beschwerdegegner im Einzelnen dargelegten Umstände schaf- fen eine hohe Fluchtgefahr, dergestalt, dass selbst die Leistung einer Kaution, wel- che das gesamte gegenüber den Schweizer Steuerbehörden deklarierte Vermö- gen des Beschwerdeführers und seiner Ehefrau beschlagen würde, die Verfügbar- keit des Beschwerdeführers für eine Auslieferung nicht sicherstellen könnte. Unter diesen Umständen kann der hohen Fluchtgefahr nicht mit einer Ersatzmassnahme begegnet werden. Was die angeordnete amtsärztliche Begutachtung anbelangt, wendet der Beschwerdeführer ein, es würden bereits Arztzeugnisse vorliegen (act. 7 S. 6). Er ignoriert aber, dass zuletzt das Kantonsspital Graubünden den Beschwerdeführer als nicht mehr spitalbedürftig erachtete und infolgedessen der Rückverlegung des Beschwerdeführers in die Justizvollzugsanstalt nichts im Wege stand. Soweit der Beschwerdeführer die beantragten Ersatzmassnahmen mit seinem Gesundheitszustand begründet, ist ihm daher entgegen zu halten, dass er zum einen eine amtsärztliche Untersuchung verweigert und er sich zum anderen während des Beschwerdeverfahrens als hafterstehungsfähig erwiesen hat. Auch dem zuletzt eingereichten Arztzeugnis von Dr. B. vom 4. August 2021 ist nicht zu entnehmen, dass der Beschwerdeführer in der fraglichen Haftanstalt aktuell nicht ausreichend medizinisch versorgt werden könnte bzw. wird. Was die geltend ge- machten Auswirkungen der Inhaftierung auf die Gesundheit des Beschwerdefüh- rers angeht, fehlen im Arztzeugnis jegliche medizinischen Angaben, welche es der Beschwerdeinstanz erlauben würden, die Schlussfolgerungen von Dr. B. nachzu- vollziehen. Es bleibt auch unklar, was der Arzt unter einer «längeren» Inhaftierung versteht. Dieser erläutert ebenso wenig, weshalb im Falle des Beschwerdeführers im Rahmen von dessen Inhaftierung keine ausreichend wirksamen Möglichkeiten der Prävention und Intervention bestehen sollen. Hinzu kommt, dass Dr. B. auf- grund des vorbestehenden therapeutischen Verhältnisses der Vorbehalt der Be- fangenheit anhaftet (s. im Allgemeinen dazu GRAF, Hafterstehungsfähigkeit, in: Brägger [Hrsg.], Das Schweizerische Vollzugslexikon, 2014, S. 231 ff.; vgl. Medi- zin-ethische Richtlinien zur Ausübung der ärztlichen Tätigkeit bei inhaftierten Per- sonen der Schweizerischen Akademie der Medizinischen Wissenschaften (SAMW), wonach ein Arzt, von Krisen- oder Notfallsituationen abgesehen, nicht gleichzeitig Gutachter und Therapeut sein kann).</w:t>
      </w:r>
    </w:p>
    <w:p>
      <w:r>
        <w:t>- 12 -</w:t>
      </w:r>
    </w:p>
    <w:p>
      <w:r>
        <w:rPr>
          <w:b/>
        </w:rPr>
        <w:t>E. 5.5</w:t>
      </w:r>
    </w:p>
    <w:p>
      <w:r>
        <w:t>Die Beschwerde erweist sich auch in diesem Punkt als unbegründet.</w:t>
      </w:r>
    </w:p>
    <w:p>
      <w:r>
        <w:rPr>
          <w:b/>
        </w:rPr>
        <w:t>E. 6</w:t>
      </w:r>
    </w:p>
    <w:p>
      <w:r>
        <w:t>Andere Gründe, welche eine Auslieferung offensichtlich ausschliessen oder sonst zu einer Aufhebung der Auslieferungshaft zu führen vermöchten, werden weder geltend gemacht noch sind solche ersichtlich. Die Beschwerde ist damit als unbe- gründet abzuweisen.</w:t>
      </w:r>
    </w:p>
    <w:p>
      <w:r>
        <w:rPr>
          <w:b/>
        </w:rPr>
        <w:t>E. 7</w:t>
      </w:r>
    </w:p>
    <w:p>
      <w:r>
        <w:t>Bei diesem Ausgang des Verfahrens sind die Gerichtskosten dem Beschwerde- führer aufzuerlegen (Art. 63 Abs. 1 VwVG). Die Gerichtsgebühr ist auf Fr. 2‘000.– festzusetzen (Art. 63 Abs. 5 VwVG und Art. 73 StBOG sowie Art. 5 und 8 Abs. 3 lit. a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