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RH.2021.5 vom 11. Juni 2021</w:t>
      </w:r>
    </w:p>
    <w:p>
      <w:r>
        <w:t>Bundesstrafgericht, 2021-06-11, DE</w:t>
      </w:r>
    </w:p>
    <w:p>
      <w:r>
        <w:rPr>
          <w:b/>
        </w:rPr>
        <w:t xml:space="preserve">Quelle: </w:t>
      </w:r>
      <w:r>
        <w:t>https://mcp.opencaselaw.ch/entscheid/bstger_RH.2021.5</w:t>
      </w:r>
    </w:p>
    <w:p>
      <w:r>
        <w:t>FR: TPF RH.2021.5 du 11 juin 2021</w:t>
      </w:r>
    </w:p>
    <w:p>
      <w:r>
        <w:t>IT: TPF RH.2021.5 del 11 giugno 2021</w:t>
      </w:r>
    </w:p>
    <w:p>
      <w:pPr>
        <w:pStyle w:val="Heading2"/>
      </w:pPr>
      <w:r>
        <w:t>Regeste</w:t>
      </w:r>
    </w:p>
    <w:p>
      <w:r>
        <w:t>Auslieferung an Bosnien und Herzegowina. Auslieferungshaftbefehl (Art. 48 Abs. 2 IRSG). Rückzug der Beschwerde.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April 2015 dem Bundesamt für Justiz (nachfolgend «BJ») das A. betref- fende Auslieferungsersuchen des bosnischen Justizministeriums vom 17. März 2015 übermittelte;</w:t>
      </w:r>
    </w:p>
    <w:p>
      <w:r>
        <w:t>- mit Schreiben vom 8. April, 12. Juni und 8. Juli 2015 das BJ das bosnische Justizministerium um Ergänzungen und um Abgabe verschiedener Garan- tien ersuchte; diese dem BJ mit Schreiben vom 1. Juni, 25. Juni und 14. Juli 2015 übermittelt wurden;</w:t>
      </w:r>
    </w:p>
    <w:p>
      <w:r>
        <w:t>- das BJ mit Entscheid vom 6. Oktober 2015 die Auslieferung von A. an Bos- nien und Herzegowina für die dem Auslieferungsersuchen und seinen Er- gänzungen zugrundeliegenden Straftaten bewilligte;</w:t>
      </w:r>
    </w:p>
    <w:p>
      <w:r>
        <w:t>- die Beschwerdekammer des Bundesstrafgerichts die dagegen von A. erho- bene Beschwerde mit Entscheid RR.2015.288 vom 16. März 2016 abwies und das Bundesgericht auf die Beschwerde von A. mit Urteil 1C_141/2016 vom 2. Mai 2016 nicht eintrat;</w:t>
      </w:r>
    </w:p>
    <w:p>
      <w:r>
        <w:t>- das BJ gegen A. am 25. Mai 2021 einen Auslieferungshaftbefehl erliess (act. 1.1);</w:t>
      </w:r>
    </w:p>
    <w:p>
      <w:r>
        <w:t>- mit Beschwerde vom 31. Mai 2021 A. bei der Beschwerdekammer des Bun- desstrafgerichts Beschwerde erheben liess; er die Aufhebung des Ausliefe- rungshaftbefehls vom 25. Mai 2021 und seine Entlassung aus der Ausliefe- rungshaft beantragt (act. 1);</w:t>
      </w:r>
    </w:p>
    <w:p>
      <w:r>
        <w:t>- dem BJ mit Schreiben vom 1. Juni 2021 die Gelegenheit eingeräumt wurde, sich zur Beschwerde von A. zu äussern (act. 4);</w:t>
      </w:r>
    </w:p>
    <w:p>
      <w:r>
        <w:t>- A. seine Beschwerde mit Schreiben vom 5. Juni 2021 zurückzog (act. 5);</w:t>
      </w:r>
    </w:p>
    <w:p>
      <w:r>
        <w:t>- 3 -</w:t>
      </w:r>
    </w:p>
    <w:p>
      <w:r>
        <w:t>- das Beschwerdeverfahren daher zufolge Rückzugs der Beschwerde als er- ledigt abzuschreiben ist;</w:t>
      </w:r>
    </w:p>
    <w:p>
      <w:r>
        <w:t>- die beschwerdeführende Partei, die ihre Beschwerde zurückzieht, grund- sätzlich als unterliegende Partei zu gelten und folglich gemäss Art. 63 Abs. 1 VwVG i.V.m. Art. 39 Abs. 2 lit. b und Art. 37 Abs. 2 lit. a StBOG die Gerichts- kosten zu tragen hat (Entscheid des Bundesstrafgerichts RR.2015.269 vom 25. November 2015);</w:t>
      </w:r>
    </w:p>
    <w:p>
      <w:r>
        <w:t>- die Gerichtsgebühr auf Fr. 200.-- festzusetzen und dem Beschwerdeführer aufzuerlegen ist (vgl. Art. 63 Abs. 5 VwVG i.V.m. Art. 73 StBOG und Art. 5 und 8 Abs. 3 lit. b des Reglements des Bundesstrafgerichts vom 31. August 2010 über die Kosten, Gebühren und Entschädigungen in Bundesstrafver- fahren [BStKR; SR 173.713.162]).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