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RH.2021.18 vom 5. Januar 2022</w:t>
      </w:r>
    </w:p>
    <w:p>
      <w:r>
        <w:t>Bundesstrafgericht, 2022-01-05, DE</w:t>
      </w:r>
    </w:p>
    <w:p>
      <w:r>
        <w:rPr>
          <w:b/>
        </w:rPr>
        <w:t xml:space="preserve">Quelle: </w:t>
      </w:r>
      <w:r>
        <w:t>https://mcp.opencaselaw.ch/entscheid/bstger_RH.2021.18</w:t>
      </w:r>
    </w:p>
    <w:p>
      <w:r>
        <w:t>FR: TPF RH.2021.18 du 5 janvier 2022</w:t>
      </w:r>
    </w:p>
    <w:p>
      <w:r>
        <w:t>IT: TPF RH.2021.18 del 5 gennaio 2022</w:t>
      </w:r>
    </w:p>
    <w:p>
      <w:pPr>
        <w:pStyle w:val="Heading2"/>
      </w:pPr>
      <w:r>
        <w:t>Regeste</w:t>
      </w:r>
    </w:p>
    <w:p>
      <w:r>
        <w:t>Auslieferung an Deutschland; Auslieferungshaftbefehl (Art. 48 Abs. 2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bi- 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bilateralen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 ber 1996, S. 12–23), welche gemäss dem Beschluss des Rates 2003/169/JI vom 27. Februar 2003 (CELEX-Nr. 32003D0169; Abl. L 67 vom 12. März 2003, S. 25 f.; abrufbar unter «Rechtssammlung zu den sektoriel- len Abkommen mit der EU», 8.2 Anhang B) eine Weiterentwicklung des Schengen-Besitzstands darstellen (d.h. die Art. 2, 6, 8, 9 und 13 des EU- Auslieferungsübereinkommens sowie dessen Art.1, soweit er für die anderen Artikel relevant ist). Die zwischen den Vertragsparteien geltenden weiterge- henden Bestimmungen aufgrund bilateraler oder multilateraler Abkommen bleiben unberührt (Art. 59 Abs. 2 SDÜ; Art. 1 Abs. 2 EU-Auslieferungs- 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w:t>
      </w:r>
    </w:p>
    <w:p>
      <w:r>
        <w:t>- 5 -</w:t>
      </w:r>
    </w:p>
    <w:p>
      <w:r>
        <w:t>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Die verfolgte Person kann gegen den Auslieferungshaftbefehl des BJ innert zehn Tagen ab der schriftlichen Eröffnung Beschwerde bei der Beschwerde- kammer des Bundesstrafgerichts führen (Art. 48 Abs. 2 i.V.m. Art. 25 Abs. 1 IRSG, Art. 50 Abs. 1 VwVG, Art. 37 Abs. 2 lit. a Ziff. 1 StBOG).</w:t>
      </w:r>
    </w:p>
    <w:p>
      <w:r>
        <w:rPr>
          <w:b/>
        </w:rPr>
        <w:t>E. 2.2</w:t>
      </w:r>
    </w:p>
    <w:p>
      <w:r>
        <w:t>Der Auslieferungshaftbefehl wurde dem Beschwerdeführer am 3. Dezember 2021 eröffnet (act. 3.5). Als Verfolgter (vgl. Art. 11 Abs. 1 IRSG) ist der Be- schwerdeführer zur Einreichung der vorliegenden Beschwerde legitimiert. Auf die im Übrigen frist- und formgerecht erhobene Beschwerde ist einzutre- ten.</w:t>
      </w:r>
    </w:p>
    <w:p>
      <w:r>
        <w:rPr>
          <w:b/>
        </w:rPr>
        <w:t>E. 3.1</w:t>
      </w:r>
    </w:p>
    <w:p>
      <w:r>
        <w:t>Der Beschwerdeführer bestreitet das Vorliegen der Fluchtgefahr und bringt vor, dass er seinen gefestigten Lebensmittelpunkt in der Schweiz habe und hier seit fünf Jahren mit seiner Ehefrau und seinen Kindern im Alter von 9-18 Jahren lebe. Der Beschwerdeführer habe auf das vereinfachte Auslie- ferungsverfahren verzichtet, weil er bei seiner Familie in der Schweiz bleiben möchte. Er habe eine starke Bindung zur Schweiz und habe alles dafür aus- gerichtet, um diese Bindung in Zukunft aufrecht zu erhalten. Zudem sehe er keinerlei Motivation und Gründe, sich einem allfälligen Verfahren durch Flucht zu entziehen. Die in Deutschland geführte Untersuchung betreffe Zeit- spannen, die mehrere Jahre zurückliegen. Schliesslich sei er nicht unterge- taucht, sondern habe in der Schweiz ein durchgehend offenes und sichtba- res Leben geführt. Eventualiter ersucht der Beschwerdeführer um Anord- nung von Ersatzmassnahmen (act. 1, S. 8 ff.; act. 5).</w:t>
      </w:r>
    </w:p>
    <w:p>
      <w:r>
        <w:t>- 6 -</w:t>
      </w:r>
    </w:p>
    <w:p>
      <w:r>
        <w:rPr>
          <w:b/>
        </w:rPr>
        <w:t>E. 3.2</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u.a. den Entscheid des Bundesstrafgerichts RH.2021.1 vom 18. Januar 2021 E. 3).</w:t>
      </w:r>
    </w:p>
    <w:p>
      <w:r>
        <w:rPr>
          <w:b/>
        </w:rPr>
        <w:t>E. 3.3</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f.; 111 IV 108 E. 2; Entscheid des Bundesstrafgerichts RH.2015.14 vom 9. Juli 2015 E. 4.1). Die Rechtsprechung ist hinsichtlich der Verneinung von Fluchtgefahr überaus restriktiv und misst der Erfüllung dieser staatsvertraglichen Auslie- ferungspflichten im Vergleich zu den Interessen des Verfolgten ausseror- dentlich grosses Gewicht bei (vgl. BGE 130 II 306 E. 2 S. 310 ff. m.w.H.; Entscheid des Bundesstrafgerichts RH.2015.4 vom 23. Februar 2015 E. 5.2). Das Bundesgericht bejaht die Fluchtgefahr bei drohenden hohen Freiheits- strafen in der Regel sogar dann, wenn der Betroffene über eine Niederlas- sungsbewilligung und familiäre Bindungen in der Schweiz verfügt (BGE 136 IV 20 E. 2.3; Urteil des Bundesgerichts 8G.45/2001 vom 15. August 2001 E. 3a). So wurde beispielsweise die Möglichkeit einer Verurteilung zu einer langen Freiheitsstrafe zur Verweigerung der Haftentlassung als ausreichend betrachtet, obwohl der Verfolgte über eine Niederlassungsbewilligung ver- fügte, seit 18 Jahren in der Schweiz lebte, mit einer Schweizerin verheiratet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(vgl. Entscheid des Bundesstrafgerichts BH.2006.4 vom 21. März 2006 E. 2.2.1).</w:t>
      </w:r>
    </w:p>
    <w:p>
      <w:r>
        <w:t>- 7 -</w:t>
      </w:r>
    </w:p>
    <w:p>
      <w:r>
        <w:rPr>
          <w:b/>
        </w:rPr>
        <w:t>E. 3.4</w:t>
      </w:r>
    </w:p>
    <w:p>
      <w:r>
        <w:t>Die Ehefrau und die Kinder des Beschwerdeführers leben in der Schweiz und der Beschwerdeführer ist hier als Logistiker erwerbstätig. Damit ist eine effektive Verbindung des Beschwerdeführers zur Schweiz zu bejahen. Indes ist diese nicht dergestalt, dass deshalb die Fluchtgefahr zu verneinen wäre. Obschon der Beschwerdeführer seinen Ausführungen zufolge seit rund fünf Jahren in der (Deutsch-)Schweiz lebt und zuvor von 1993-1999 in Deutsch- land gelebt hat, mussten die Einvernahmen vom 23. November und 10. De- zember 2021 ins Italienische übersetzt werden (act. 3.4, 3.7). Ferner gab der Beschwerdeführer an, in Italien von 1999 bis 2015 wohnhaft gewesen zu sein (act. 3.4, S. 2). Unter diesen Umständen ist die vom Beschwerdeführer behauptete volle Integration fraglich. Zudem lebt die Mutter des Beschwer- deführers seinen Angaben zufolge in Italien, wo sie derzeit wegen einer Co- vid-19-Erkrankung im Spital von Z. (Italien) hospitalisiert ist (act. 3.4, S. 2). Der Beschwerdeführer ist italienischer Staatsangehöriger, […] Jahre alt und soweit ersichtlich bei guter Gesundheit. Im Falle einer Auslieferung an Deutschland droht dem Beschwerdeführer eine Freiheitsstrafe von bis zu 10 Jahren (act. 3.6, Schreiben der leitenden Oberstaatsanwältin in Duisburg an das BJ vom 23. November 2021). Die dem Beschwerdeführer vorgewor- fenen Tathandlungen sollen zwischen März 2016 und August 2019 stattge- funden haben (Sachverhalt, Bst. C). Somit liegen gegenüber dem Beschwer- deführer erhobenen Vorwürfe entgegen seiner Ansicht nicht weit zurück. Un- ter diesen Umständen kann nicht ausgeschlossen werden, dass der Be- schwerdeführer sich ins Ausland und insbesondere in seinen Heimatstaat absetzt, um dadurch der Auslieferung zu entgehen. Im Sinne der oben zitier- ten Rechtsprechung des Bundesgerichts ist die Fluchtgefahr zu bejahen.</w:t>
      </w:r>
    </w:p>
    <w:p>
      <w:r>
        <w:rPr>
          <w:b/>
        </w:rPr>
        <w:t>E. 3.5</w:t>
      </w:r>
    </w:p>
    <w:p>
      <w:r>
        <w:t>Nicht ersichtlich sind mildere Ersatzmassnahmen, die geeignet wären, der hohen Fluchtgefahr ausreichend zu begegnen. Angesichts der einfachen Möglichkeit, sich ins Ausland abzusetzen, werden Ersatzmassnahmen wie Abgabe der Reisedokumente, Schriftensperre, Meldepflicht und Electronic Monitoring nach konstanter Rechtsprechung nur in Kombination mit einer sehr substantiellen Sicherheitsleistung als überhaupt geeignet erachtet, Fluchtgefahr ausreichend zu bannen (vgl. zuletzt u.a. Entscheide des Bun- desstrafgerichts RH.2021.9 vom 17. August 2021 E. 7.4; RH.2021.3 vom 30. April 2021 E. 8.3; RH.2021.1 vom 18. Januar 2021 E. 4.3; RH.2020.10 vom 23. September 2020 E. 4.2; RH.2020.9 vom 11. September 2020 E. 5.2). Der Beschwerdeführer bietet zwar eine Kaution an (act. 1, S. 11), unterlässt es jedoch, diese zu konkretisieren. Angesichts des vom Be- schwerdeführer im Rahmen des Gesuchs um unentgeltliche Prozessführung gemachten Ausführungen ist nicht anzunehmen, dass er im Stande wäre,</w:t>
      </w:r>
    </w:p>
    <w:p>
      <w:r>
        <w:t>- 8 -</w:t>
      </w:r>
    </w:p>
    <w:p>
      <w:r>
        <w:t>eine den oben beschriebenen Anforderungen genügende Sicherheitsleis- tung zu erbringen (RP.2021.86, act. 4.1). Namentlich gab der Beschwerde- führer an, auf seinem Bankkonto über kaum noch Vermögenswerte zu ver- fügen. Im Gegensatz zu seiner Frau, die in Italien ein landwirtschaftliches Grundstück im Wert von EUR 50'000.-- bis 60'000.-- besitze, verfüge er über keinerlei Vermögenswerte in Italien (RP.2021.86, act. 4).</w:t>
      </w:r>
    </w:p>
    <w:p>
      <w:r>
        <w:rPr>
          <w:b/>
        </w:rPr>
        <w:t>E. 3.6</w:t>
      </w:r>
    </w:p>
    <w:p>
      <w:r>
        <w:t>Andere Gründe, welche eine Auslieferung offensichtlich auszuschliessen oder sonst zu einer Aufhebung der Auslieferungshaft zu führen vermöchten, werden vom Beschwerdeführer weder geltend gemacht noch sind solche er- sichtlich.</w:t>
      </w:r>
    </w:p>
    <w:p>
      <w:r>
        <w:rPr>
          <w:b/>
        </w:rPr>
        <w:t>E. 3.7</w:t>
      </w:r>
    </w:p>
    <w:p>
      <w:r>
        <w:t>Die Beschwerde erweist sich als unbegründet und ist vollumfänglich abzu- weisen.</w:t>
      </w:r>
    </w:p>
    <w:p>
      <w:r>
        <w:rPr>
          <w:b/>
        </w:rPr>
        <w:t>E. 4.1</w:t>
      </w:r>
    </w:p>
    <w:p>
      <w:r>
        <w:t>Der Beschwerdeführer ersucht um Gewährung unentgeltlicher Rechtspflege und -verbeiständung (RP.2021.86, act. 1).</w:t>
      </w:r>
    </w:p>
    <w:p>
      <w:r>
        <w:rPr>
          <w:b/>
        </w:rPr>
        <w:t>E. 4.2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4.3</w:t>
      </w:r>
    </w:p>
    <w:p>
      <w:r>
        <w:t>Da sich die vorliegende Beschwerde als vollumfänglich unbegründet erweist (supra E. 3), muss sie als aussichtslos im Sinne von Art. 65 Abs. 1 VwVG bezeichnet werden. Demzufolge ist das Gesuch des Beschwerdeführers um unentgeltliche Rechtspflege und –verbeiständung ohne Prüfung der finanzi- ellen Verhältnisse des Beschwerdeführers abzuweisen. Lediglich vollstän- digkeitshalber sei angemerkt, dass die Beschwerdekammer nicht für die Ge- währung der amtlichen Verteidigung im vorinstanzlichen Verfahren zustän- dig ist. Ein entsprechender Antrag wäre an die Beschwerdegegnerin zu rich- ten. Selbst bei Vorliegen der Voraussetzungen für die Gewährung der un- entgeltlichen Verbeiständung, hätte diese nur für das vorliegende Beschwer- deverfahren erteilt werden können.</w:t>
      </w:r>
    </w:p>
    <w:p>
      <w:r>
        <w:t>- 9 -</w:t>
      </w:r>
    </w:p>
    <w:p>
      <w:r>
        <w:rPr>
          <w:b/>
        </w:rPr>
        <w:t>E. 4.4</w:t>
      </w:r>
    </w:p>
    <w:p>
      <w:r>
        <w:t>Somit sind die Gerichtskosten dem Beschwerdeführer aufzuerlegen (vgl. Art. 63 Abs. 1 VwVG) und die Gerichtsgebühr ist auf Fr. 2'000.-- festzusetzen (vgl. Art. 63 Abs. 5 VwVG und Art. 73 StBOG sowie Art. 5 und 8 Abs. 3 lit. a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