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RH.2021.13 vom 14. Oktober 2021</w:t>
      </w:r>
    </w:p>
    <w:p>
      <w:r>
        <w:t>Bundesstrafgericht, 2021-10-14, FR</w:t>
      </w:r>
    </w:p>
    <w:p>
      <w:r>
        <w:rPr>
          <w:b/>
        </w:rPr>
        <w:t xml:space="preserve">Quelle: </w:t>
      </w:r>
      <w:r>
        <w:t>https://mcp.opencaselaw.ch/entscheid/bstger_RH.2021.13</w:t>
      </w:r>
    </w:p>
    <w:p>
      <w:r>
        <w:t>FR: TPF RH.2021.13 du 14 octobre 2021</w:t>
      </w:r>
    </w:p>
    <w:p>
      <w:r>
        <w:t>IT: TPF RH.2021.13 del 14 ottobre 2021</w:t>
      </w:r>
    </w:p>
    <w:p>
      <w:pPr>
        <w:pStyle w:val="Heading2"/>
      </w:pPr>
      <w:r>
        <w:t>Regeste</w:t>
      </w:r>
    </w:p>
    <w:p>
      <w:r>
        <w:t>Extradition à la Russie; mandat d'arrêt en vue d'extradition (art. 48 al. 2 EIMP); élargissement (art. 50 al. 3 EIMP); effet suspensif (art. 387 CPP, par renvoi de l'art. 48 al. 2 EIMP)</w:t>
      </w:r>
    </w:p>
    <w:p>
      <w:pPr>
        <w:pStyle w:val="Heading2"/>
      </w:pPr>
      <w:r>
        <w:t>Erwägungen</w:t>
      </w:r>
    </w:p>
    <w:p>
      <w:r>
        <w:rPr>
          <w:b/>
        </w:rPr>
        <w:t>E. 1.1</w:t>
      </w:r>
    </w:p>
    <w:p>
      <w:r>
        <w:t>Les procédures d’extradition entre la Suisse et la Russie sont prioritairement régies par la Convention européenne d’extradition du 13 décembre 1957 (CEExtr; RS 0.353.1), entrée en vigueur pour la première le 20 mars 1967 et pour la seconde le 9 mars 2000, par les deux protocoles additionnels à la cette convention (PA I et PA II CEExtr; RS 0.353.11 et RS 0.353.12), entrés en vigueur pour la Suisse le 9 juin 1985 et pour la Russie le 9 mars 2000, ainsi que par le quatrième protocole additionnel à la CEExtr (RS 0.353.14), entré en vigueur pour la Suisse le 1er novembre 2016 et pour la Russie le 1er septembre 2017. Pour le surplus, la loi fédérale sur l’entraide internationale en matière pénale (EIMP; RS 351.1) et son ordonnance</w:t>
      </w:r>
    </w:p>
    <w:p>
      <w:r>
        <w:t>- 4 -</w:t>
      </w:r>
    </w:p>
    <w:p>
      <w:r>
        <w:t>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ne l’est le droit international (ATF 142 IV 250 consid. 3; 140 IV 123 consid. 2; 137 IV 33 consid. 2.2.2). L’application de la norme la plus favorable (principe dit « de faveur »)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 La Cour de céans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1.3</w:t>
      </w:r>
    </w:p>
    <w:p>
      <w:r>
        <w:t>Interjeté en temps utile par la personne visée (art. 48 al. 2 EIMP), le recours est formellement recevable et il y a lieu d’entrer en matière.</w:t>
      </w:r>
    </w:p>
    <w:p>
      <w:r>
        <w:rPr>
          <w:b/>
        </w:rPr>
        <w:t>E. 2</w:t>
      </w:r>
    </w:p>
    <w:p>
      <w:r>
        <w:t>septembre 2021 relatives aux conditions soumises à acceptation (RR.2021.188 + RP.2021.55).</w:t>
      </w:r>
    </w:p>
    <w:p>
      <w:r>
        <w:rPr>
          <w:b/>
        </w:rPr>
        <w:t>E. 3</w:t>
      </w:r>
    </w:p>
    <w:p>
      <w:r>
        <w:t>À l’appui de son recours, le recourant se prévaut, en premier lieu, d’une absence de risque de fuite, compte tenu de son âge (58 ans), du fait que son centre de vie se situe exclusivement et définitivement en Suisse, où vivent sa femme et ses trois enfants, et de son état de santé actuel. Depuis qu’il a appris, en 2015, l’existence d’une procédure pénale à son encontre en Suisse, puis également en Russie, il n’a jamais fui ou cherché à fuir. Il a également toujours respecté les conditions de la convention de mise en liberté signée le 13 juillet 2018, par laquelle l’OFJ reconnaissait l’absence de risque de fuite. Cette convention, que rien ne justifie de révoquer, devrait, de</w:t>
      </w:r>
    </w:p>
    <w:p>
      <w:r>
        <w:t>- 5 -</w:t>
      </w:r>
    </w:p>
    <w:p>
      <w:r>
        <w:t>son point de vue, continuer de déployer ses effets, sans égard à l’arrêt du Tribunal fédéral du 1er septembre 2021. La seule fuite envisagée par le recourant est celle de mettre fin à ses jours, non de quitter la Suisse (act. 1, point B. 2, p. 14 à 17).</w:t>
      </w:r>
    </w:p>
    <w:p>
      <w:r>
        <w:t>Il demande ainsi sa « mise en liberté provisoire », en application de l’art. 50 al. 3 EIMP, s’appuyant sur plusieurs avis médicaux obtenus à sa demande (en particulier, sur un certificat médical établi par un médecin de l’Unité carcérale des B. et un rapport d’expertise psychiatrique du 16 septembre 2021, établi par un spécialiste FMH en psychiatrie et psychothérapie, ainsi qu’un courrier électronique du 21 septembre 2021 émanant du chef de clinique de l’établissement C.; v. infra consid. 3.3), au motif que son état de santé n’est pas compatible avec sa détention (act. 1, point B. 3, p. 17 à 21).</w:t>
      </w:r>
    </w:p>
    <w:p>
      <w:r>
        <w:t>Le recourant requiert enfin de pouvoir bénéficier de mesures de substitution à la détention, en application de l’art. 47 al. 2 EIMP, proposant le versement d’une caution ou de tout autre type de sûreté, ainsi que le port du bracelet électronique (act. 1, point B. 4, p. 21 et s.).</w:t>
      </w:r>
    </w:p>
    <w:p>
      <w:r>
        <w:rPr>
          <w:b/>
        </w:rPr>
        <w:t>E. 3.1</w:t>
      </w:r>
    </w:p>
    <w:p>
      <w:r>
        <w:t>La détention de la personne poursuivie constitue la règle dans le cadre d’une procédure d’extradition (ATF 130 II 306 consid. 2.2; 117 IV 359 consid. 2a; 111 IV 108 consid. 2; 109 IV 159 consid. 1; 109 Ib 58 consid. 2). Il peut toutefois être renoncé au mandat d'arrêt en vue d'extradition et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L’élargissement est en outre prononcé si la demande d'extradition et ses annexes ne sont pas fournies à temps (art. 50 al. 1 EIMP) ou si l'extradition est manifestement inadmissible (art. 51 al. 1 EIMP en corrélation avec les art. 2 à 5 EIMP); il en va de même en cas de refus de l'extradition (art. 56 al. 2 EIMP) ou si l'Etat requérant ne prend pas en charge le détenu en temps utile (art. 61 EIMP a contrario; ATF 130 II 306 consid. 2.1; 117 IV 359 consid. 2a). La détention peut, exceptionnellement, prendre fin à n'importe quel stade de la procédure, si les circonstances le justifient (art. 50 al. 3 EIMP).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en cas d'admission d'une demande d'extradition, à l'Etat qui en a fait la demande (ATF 130 II 306 consid. 2.2 et les arrêts cités).</w:t>
      </w:r>
    </w:p>
    <w:p>
      <w:r>
        <w:t>- 6 -</w:t>
      </w:r>
    </w:p>
    <w:p>
      <w:r>
        <w:rPr>
          <w:b/>
        </w:rPr>
        <w:t>E. 3.2</w:t>
      </w:r>
    </w:p>
    <w:p>
      <w:r>
        <w:t>Dans sa réponse, l’OFJ estime que l’état d’avancement actuel de la procédure d’extradition exige la détention, laquelle ne peut plus être substituée, à ce stade, par une autre mesure. Il souligne également que le recourant a élu domicile dans la commune de Z., dans le canton de Genève, laquelle se trouve à proximité de la frontière française. Il constate que, « de par son attitude vis-à-vis des forces de l’ordre lors de son interpellation, le recourant a, a priori, démontré sa volonté de se soustraire à l’extradition, ceci de quelque manière que ce soit ». L’OFJ relève s’agissant de l’état de santé du recourant, qui durerait depuis plusieurs mois, voire plusieurs années, tel que décrit dans l’expertise psychiatrique produite à l’appui du recours, qu’un grief de cette nature n’a jamais été allégué auparavant dans la procédure d’extradition. Considérant que les allégations et le comportement du recourant ont pour but de se soustraire à l’extradition, il conclut au maintien de l’intéressé en détention en vue d’extradition, « dans des conditions adaptées à son état » (act. 3, p. 4).</w:t>
      </w:r>
    </w:p>
    <w:p>
      <w:r>
        <w:rPr>
          <w:b/>
        </w:rPr>
        <w:t>E. 3.3</w:t>
      </w:r>
    </w:p>
    <w:p>
      <w:r>
        <w:t>Il ressort du rapport de la police cantonale genevoise du 13 septembre 2021 que, lors de son arrestation du même jour, le recourant, après s’être vu notifier le mandat d’arrêt aux fins d’extradition, avoir préparé, dans le calme, ses affaires en vue de sa détention et enlacé son épouse, s’est infligé un coup de stylet (lame de 10,5 cm) dans l’abdomen. Il a ensuite été maîtrisé et menotté par les agents de la police cantonale genevoise venus l’interpeler, lesquels ont dû faire usage de la force. La lame a été extraite au cours de la manœuvre. Le recourant a été conduit en ambulance et hospitalisé aux B. (act. 3.2). Le certificat médical établi, à la demande du recourant, par un médecin de l’Unité carcérale des B. le 16 septembre 2021, fait état d’une lésion par coup de couteau double tranchant juste au-dessus de l’ombilic, d’une « plaie profonde avec effraction du péritoine pariétale sans lésion d’organe » suturée et de suites post-opératoires simples et sans complication. Il précise également que le patient refuse de s’hydrater et de s’alimenter depuis le 14 septembre 2021 (act. 3.4A). Selon un rapport d’expertise psychiatrique du 16 septembre 2021, établi à la requête du recourant, par un spécialiste FMH en psychiatrie et psychothérapie, le diagnostic posé est celui d’un épisode dépressif d’intensité sévère et de tonalité mélancolique, compliqué par la survenue d’un geste suicidaire, lors de son arrestation, avec un risque auto-agressif sévère, auxquels s’ajoutent un arrêt de l’hydratation et de l’alimentation. Le recourant présente des troubles psychiques patents. Sa détention n’est pas compatible avec son état de santé (act. 3.6A). Selon un courrier électronique du 21 septembre 2021 adressé au conseil du recourant, émanant du chef de clinique de l’établissement C., à cette date, persistait une crise suicidaire grave avec volonté de se tuer, du fait du refus du recourant de s’hydrater (act. 1.19). De la réponse de l’OFJ du 4 octobre 2021, il ressort que, renseignements</w:t>
      </w:r>
    </w:p>
    <w:p>
      <w:r>
        <w:t>- 7 -</w:t>
      </w:r>
    </w:p>
    <w:p>
      <w:r>
        <w:t>obtenus des autorités genevoises, le recourant serait désormais détenu à Y., sous un régime standard et disposerait d’un accès au Service médical de l’établissement de détention (act. 3).</w:t>
      </w:r>
    </w:p>
    <w:p>
      <w:r>
        <w:rPr>
          <w:b/>
        </w:rPr>
        <w:t>E. 3.4</w:t>
      </w:r>
    </w:p>
    <w:p>
      <w:r>
        <w:t>En l’espèce, il ressort de ce qui précède qu’à compter de son arrestation, le 13 septembre 2021, la situation du recourant, en particulier, son état de santé tant psychique que physique, du fait de l’acte auto-agressif accompli, ainsi que de son refus de s’hydrater, a changé. Sur la base des éléments au dossier, il n’est toutefois pas possible de déterminer si, en l’état, l’intéressé peut ou non subir une détention, en application de l’art. 47 al. 2 EIMP. Son état de santé actuel, ses conditions de détention concrètes, comme le fait de savoir si celles-ci sont ou non ou, le cas échéant, peuvent être ou non adaptées à son état de santé doivent être examinés. Demeurent également indéterminés, à ce stade, le sort de la convention de mise en liberté du 12 juillet 2018 et, plus particulièrement, celui de la caution de CHF 2'000'000.-- (v. supra Faits, let. G), éléments pouvant avoir une influence sur la situation, notamment financière, du recourant et la possibilité de prononcer d’éventuelles mesures de substitution (art. 47 al. 2 EIMP). En l’absence d’informations suffisantes sur les circonstances de l’espèce, le dossier doit être renvoyé à l’OFJ pour examen détaillé de la situation concrète. Le recours doit, en conséquence, être admis sur ce point, sans procéder en l’état, à l’examen des autres griefs formulés.</w:t>
      </w:r>
    </w:p>
    <w:p>
      <w:r>
        <w:rPr>
          <w:b/>
        </w:rPr>
        <w:t>E. 4</w:t>
      </w:r>
    </w:p>
    <w:p>
      <w:r>
        <w:t>En tant qu’elle constitue la règle en la matière (v. supra consid. 3.1), la détention extraditionnelle doit être maintenue. Partant, vu les conclusions y relatives du recourant (v. supra Faits, let. E), le recours est partiellement admis.</w:t>
      </w:r>
    </w:p>
    <w:p>
      <w:r>
        <w:rPr>
          <w:b/>
        </w:rPr>
        <w:t>E. 5</w:t>
      </w:r>
    </w:p>
    <w:p>
      <w:r>
        <w:t>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LOAP).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w:t>
      </w:r>
    </w:p>
    <w:p>
      <w:r>
        <w:t>- 8 -</w:t>
      </w:r>
    </w:p>
    <w:p>
      <w:r>
        <w:t>RS 173.713.162] et art. 63 al. 5 PA). Compte tenu de l'issue du litige, les frais sont fixés à CHF 500.-- et mis à la charge du recourant.</w:t>
      </w:r>
    </w:p>
    <w:p>
      <w:r>
        <w:rPr>
          <w:b/>
        </w:rPr>
        <w:t>E. 6</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 En l'espèce, le conseil du recourant n'a pas produit de liste des opérations effectuées. Vu l'ampleur et la difficulté de la cause, ainsi que l'admission partielle du recours, dans les limites admises par le RFPPF, l'indemnité est fixée ex aequo et bono à CHF 800.--, à charge de la partie adverse.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