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RH.2021.12 vom 7. Oktober 2021</w:t>
      </w:r>
    </w:p>
    <w:p>
      <w:r>
        <w:t>Bundesstrafgericht, 2021-10-07, DE</w:t>
      </w:r>
    </w:p>
    <w:p>
      <w:r>
        <w:rPr>
          <w:b/>
        </w:rPr>
        <w:t xml:space="preserve">Quelle: </w:t>
      </w:r>
      <w:r>
        <w:t>https://mcp.opencaselaw.ch/entscheid/bstger_RH.2021.12</w:t>
      </w:r>
    </w:p>
    <w:p>
      <w:r>
        <w:t>FR: TPF RH.2021.12 du 7 octobre 2021</w:t>
      </w:r>
    </w:p>
    <w:p>
      <w:r>
        <w:t>IT: TPF RH.2021.12 del 7 ottobre 2021</w:t>
      </w:r>
    </w:p>
    <w:p>
      <w:pPr>
        <w:pStyle w:val="Heading2"/>
      </w:pPr>
      <w:r>
        <w:t>Regeste</w:t>
      </w:r>
    </w:p>
    <w:p>
      <w:r>
        <w:t>Auslieferung an Polen; Auslieferungshaftbefehl (Art. 48 Abs. 2 IRSG); Unentgeltliche Rechtspflege (Art. 65 VwVG)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 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Die zwischen den Vertragsparteien geltenden weitergehenden Bestimmun- gen aufgrund bilateraler oder multilateraler Abkommen bleiben unberührt (Art. 59 Abs. 2 SDÜ; Art. 1 Abs. 2 EU-Auslieferungsübereinkommen; ZIM- MERMANN, La coopération judiciaire internationale en matière pénale, 5. Aufl. 2019, N. 22 f., 28–52, 193 ff.).</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w:t>
      </w:r>
    </w:p>
    <w:p>
      <w:r>
        <w:t>- 5 -</w:t>
      </w:r>
    </w:p>
    <w:p>
      <w:r>
        <w:t>Nach dem Günstigkeitsprinzip gelangt das innerstaatliche Recht auch dann zur Anwendung, wenn dieses geringere Anforderungen an die Rechtshilfe stellt (BGE 142 IV 250 E. 3; 140 IV 123 E. 2; 137 IV 33 E.2.2.2; 136 IV 82 E. 3.1). Vorbehalten bleibt die Wahrung der Menschenrechte (BGE 135 IV 212 E. 2.3; 123 II 595 E. 7c; TPF 2016 65 E. 1.2; 2008 24 E. 1.1; ZIMMER- MANN, a.a.O., N. 170 ff., 211 ff., 240 ff.).</w:t>
      </w:r>
    </w:p>
    <w:p>
      <w:r>
        <w:rPr>
          <w:b/>
        </w:rPr>
        <w:t>E. 1.3</w:t>
      </w:r>
    </w:p>
    <w:p>
      <w:r>
        <w:t>Für das Beschwerdeverfahren gelten zudem die Art. 379-397 StPO sinnge- mäss (Art. 48 Abs. 1 i.V.m. Art. 47 IRSG) sowie die Bestimmungen des VwVG (vgl. Art. 39 Abs. 2 lit. b i.V.m. Art. 37 Abs. 2 lit. a Ziff. 1 StBOG; ZIMMERMANN, a.a.O., N. 273).</w:t>
      </w:r>
    </w:p>
    <w:p>
      <w:r>
        <w:rPr>
          <w:b/>
        </w:rPr>
        <w:t>E. 2</w:t>
      </w:r>
    </w:p>
    <w:p>
      <w:r>
        <w:t>Gegen den Auslieferungshaftbefehl des BJ kann der Verfolgte innert zehn Tagen ab der schriftlichen Eröffnung Beschwerde bei der Beschwerdekam- mer des Bundesstrafgerichts führen (Art. 48 Abs. 2 IRSG; ZIMMERMANN, a.a.O., N. 498, 536). Die Beschwerde erweist sich vorliegend als fristgerecht. Die übrigen Eintretensvoraussetzungen geben keinen Anlass zu Bemerkun- 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u.a. den Entscheid des Bundesstrafgerichts RH.2018.3 vom 20. Februar 2018 E. 3.2).</w:t>
      </w:r>
    </w:p>
    <w:p>
      <w:r>
        <w:t>Offensichtlich unzulässig kann ein Auslieferungsersuchen sein, wenn ohne jeden Zweifel und ohne weitere Abklärungen ein Ausschlussgrund vorliegt (vgl. BGE 111 IV 108 E. 3a). Im Übrigen sind Vorbringen gegen die Auslie- ferung als solche oder gegen die Begründetheit des Auslieferungsbegehrens nicht im vorliegenden Beschwerdeverfahren, sondern im eigentlichen Aus- lieferungsverfahren zu prüfen (vgl. MOREILLON/DUPUIS/MAZOU, La pratique</w:t>
      </w:r>
    </w:p>
    <w:p>
      <w:r>
        <w:t>- 6 -</w:t>
      </w:r>
    </w:p>
    <w:p>
      <w:r>
        <w:t>judiciaire du Tribunal pénal fédéral, in Journal des Tribunaux 2009 IV 111 Nr. 190 und 2008 IV 66 Nr. 322 je m.w.H. auf die Rechtsprechung).</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und 2.3; 111 IV 108 E. 2; Entscheid des Bundesstrafgerichts RH.2015.14 vom 9. Juli 2015 E. 4.1).</w:t>
      </w:r>
    </w:p>
    <w:p>
      <w:r>
        <w:rPr>
          <w:b/>
        </w:rPr>
        <w:t>E. 4.1</w:t>
      </w:r>
    </w:p>
    <w:p>
      <w:r>
        <w:t>Der Beschwerdeführer bringt zur Hauptsache vor, es sei unzutreffend, dass er sich dem polnischen Haftbefehl bislang entzogen habe. Vielmehr habe er sich bereits in Deutschland einem Auslieferungsersuchen des polnischen Justizministeriums gestellt, über welches das zuständige Oberlandesgericht Stuttgart sowie die Generalstaatsanwaltschaft Stuttgart befunden habe (act. 1 S. 3). Ihn in Auslieferungshaft zu behalten, um ihn gegebenenfalls nach Polen auszuliefern, würde das Auslieferungsverfahren im Wohnsitz- staat des Beschwerdeführers, Deutschland, ad absurdum führen (act. 1 S. 7).</w:t>
      </w:r>
    </w:p>
    <w:p>
      <w:r>
        <w:rPr>
          <w:b/>
        </w:rPr>
        <w:t>E. 4.2</w:t>
      </w:r>
    </w:p>
    <w:p>
      <w:r>
        <w:t>Mit Beschluss vom 16. Juli 2021 lehnte das Oberlandesgericht Stuttgart auf Antrag der Generalstaatsanwaltschaft Stuttgart vom 14. Juli 2021 die Aus- lieferung des in Friedrichshafen (D) wohnhaften und sich während des Aus- lieferungsverfahrens in Deutschland durchgängig in Freiheit befindenden Beschwerdeführers an Polen ab (act. 1.5).</w:t>
      </w:r>
    </w:p>
    <w:p>
      <w:r>
        <w:t>Zur Begründung führte das Oberlandesgericht aus, dass die Generalstaats- anwaltschaft zu Recht annehme, dass der Beschwerdeführer in Deutschland erfolgreich ein neues Leben aufgebaut habe, in Deutschland zwischenzeit- lich familiär-sozial und beruflich fest integriert sei und insofern über einen gewöhnlichen Aufenthalt verfüge, welcher seine Gleichstellung mit einem deutschen Staatsangehörigen rechtfertige. Ein sogenannter Fluchtfall, der dieser Beurteilung entgegenstehen könnte, sei nach Aktenlage offenkundig nicht gegeben, zumal die Vollstreckung der in Rede stehenden Freiheits- strafe zum Zeitpunkt der Ausreise des Beschwerdeführers aus Polen (2010) noch zur Bewährung ausgesetzt gewesen sei. Zutreffend gehe die General- staatsanwaltschaft ferner davon aus, dass ein (etwaiger) Strafvollzug in Deutschland dem Beschwerdeführer – eingedenk einer annehmbaren Wei- terbeschäftigungsoption bei seinem derzeitigen Arbeitgeber und zeitnah</w:t>
      </w:r>
    </w:p>
    <w:p>
      <w:r>
        <w:t>- 7 -</w:t>
      </w:r>
    </w:p>
    <w:p>
      <w:r>
        <w:t>möglicher Vollzugslockerungen – (deutlich) grössere Resozialisierungs- chancen böte, als die thematisierte Strafvollstreckung in Polen und allem nach somit ein Bewilligungshindernis bestehe.</w:t>
      </w:r>
    </w:p>
    <w:p>
      <w:r>
        <w:t>Mit Bewilligungsentscheidung vom 21. Juli 2021 lehnte die Generalstaatsan- waltschaft Stuttgart die Auslieferung des Beschwerdeführers an Polen zum Zweck der Vollstreckung der Freiheitsstrafe mit Zustimmung des Oberlan- desgerichts Stuttgart im Beschluss vom 16. Juli 2021 ab (act. 1.4).</w:t>
      </w:r>
    </w:p>
    <w:p>
      <w:r>
        <w:t>Mit Schreiben vom 21. Juli 2021 informierte die Generalstaatsanwaltschaft Stuttgart das Bezirksgericht Jelenia Goria, dass sie die Auslieferung des Be- schwerdeführers abgelehnt hat und verwies auf die Möglichkeit, gegebenen- falls ein Ersuchen um Übernahme der Strafvollstreckung zu stellen (act. 1.6).</w:t>
      </w:r>
    </w:p>
    <w:p>
      <w:r>
        <w:rPr>
          <w:b/>
        </w:rPr>
        <w:t>E. 4.3</w:t>
      </w:r>
    </w:p>
    <w:p>
      <w:r>
        <w:t>Da die deutschen Behörden die Auslieferung des Beschwerdeführers nach Polen abgelehnt haben, kann sich dieser durch eine Flucht nach Deutsch- land demnach dem Auslieferungsverfahren in der Schweiz ohne Weiteres entziehen. Es ist daher offensichtlich von einer erhöhten Fluchtgefahr aus- zugehen, welcher auch nicht mit Ersatzmassnahmen ausreichend begegnet werden kann.</w:t>
      </w:r>
    </w:p>
    <w:p>
      <w:r>
        <w:rPr>
          <w:b/>
        </w:rPr>
        <w:t>E. 4.4</w:t>
      </w:r>
    </w:p>
    <w:p>
      <w:r>
        <w:t>Einwände des Verfolgten gegen eine Auslieferung als solche bzw. gegen die Begründetheit des Auslieferungsbegehrens sind im Haftbeschwerdeverfah- ren grundsätzlich nicht zu hören (vgl. BGE 111 Ib 147 E. 4; 111 IV 108 E. 3a). Einzig die offensichtliche Unzulässigkeit der Auslieferung könnte in diesem Zusammenhang einen materiell-rechtlichen Haftentlassungsgrund bilden (Art. 51 Abs. 1 IRSG; vgl. BGE 111 IV 108 E. 3a; Urteil des Bundesgerichts 1A.37/2007 vom 30. März 2007 E. 3; Entscheid des Bundesstrafgerichts RH.2018.1 vom 13. Februar 2018 E. 3 m.w.H.). Der Beschwerdeführer lebt nicht in der Schweiz. Aufgrund seiner Lebensumstände verfügt er in Deutschland über einen gewöhnlichen Aufenthalt, was gemäss dem vorge- legten Beschluss zu einer Gleichstellung mit einem deutschen Staatsange- hörigen führt. Inwiefern die im deutschen Auslieferungsverfahren festgestell- ten Auslieferungshindernisse (s. supra E. 4.2) auch im schweizerischen Aus- lieferungsverfahren gelten sollen, weshalb von einer offensichtlichen Unzu- lässigkeit der Auslieferung des Beschwerdeführers von der Schweiz nach Polen auszugehen wäre, zeigt der Beschwerdeführer weder in der Be- schwerde noch in der Replik auf. Auf welcher Grundlage die schweizerischen Behörden von einer offensichtlichen Unzulässigkeit der Auslieferung des Be- schwerdeführers nach Polen auszugehen hätten, ist vorliegend nicht ersicht- lich.</w:t>
      </w:r>
    </w:p>
    <w:p>
      <w:r>
        <w:t>- 8 -</w:t>
      </w:r>
    </w:p>
    <w:p>
      <w:r>
        <w:rPr>
          <w:b/>
        </w:rPr>
        <w:t>E. 4.5</w:t>
      </w:r>
    </w:p>
    <w:p>
      <w:r>
        <w:t>Die Rügen des Beschwerdeführers erweisen sich nach dem Gesagten als offensichtlich unbegründet.</w:t>
      </w:r>
    </w:p>
    <w:p>
      <w:r>
        <w:rPr>
          <w:b/>
        </w:rPr>
        <w:t>E. 5</w:t>
      </w:r>
    </w:p>
    <w:p>
      <w:r>
        <w:t>Andere Gründe, welche eine Auslieferung offensichtlich ausschliessen oder sonst zu einer Aufhebung der Auslieferungshaft zu führen vermöchten, wer- den weder geltend gemacht noch sind solche ersichtlich. Bei diesem Prü- fungsergebnis ist auf die Anträge um «umgehende Haftentlassung» und «Auslieferung nach Deutschland» nicht weiter einzugehen. Die Beschwerde ist damit als unbegründet abzuweisen.</w:t>
      </w:r>
    </w:p>
    <w:p>
      <w:r>
        <w:rPr>
          <w:b/>
        </w:rPr>
        <w:t>E. 6.1</w:t>
      </w:r>
    </w:p>
    <w:p>
      <w:r>
        <w:t>Der Beschwerdeführer ersucht um Gewährung der unentgeltlichen Rechts- pflege unter Ernennung von Rechtsanwalt Michael Gehring als unentgeltli- cher Rechtsbeistand (RP.2021.56, act. 1).</w:t>
      </w:r>
    </w:p>
    <w:p>
      <w:r>
        <w:rPr>
          <w:b/>
        </w:rPr>
        <w:t>E. 6.2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6.3</w:t>
      </w:r>
    </w:p>
    <w:p>
      <w:r>
        <w:t>Nach dem oben Ausgeführten muss die vorliegende Beschwerde als aus- sichtslos bezeichnet werden. Schon aus diesem Grund ist das Gesuch um unentgeltliche Rechtspflege abzuweisen. Bei der Festsetzung der Gerichts- gebühr kann gemäss Art. 63 Abs. 4bis VwVG der finanziellen Situation des Beschwerdeführers Rechnung getragen werden.</w:t>
      </w:r>
    </w:p>
    <w:p>
      <w:r>
        <w:rPr>
          <w:b/>
        </w:rPr>
        <w:t>E. 7</w:t>
      </w:r>
    </w:p>
    <w:p>
      <w:r>
        <w:t>Bei diesem Ausgang des Verfahrens sind die Gerichtskosten dem Be- schwerdeführer aufzuerlegen (Art. 63 Abs. 1 VwVG). Angesichts der finan- ziellen Situation des Beschwerdeführers ist die reduzierte Gerichtsgebühr</w:t>
      </w:r>
    </w:p>
    <w:p>
      <w:r>
        <w:t>- 9 -</w:t>
      </w:r>
    </w:p>
    <w:p>
      <w:r>
        <w:t>auf Fr. 1’000.-- festzusetzen (Art. 63 Abs. 5 VwVG i.V.m. Art. 73 StBOG so- 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