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RH.2020.9 vom 11. September 2020</w:t>
      </w:r>
    </w:p>
    <w:p>
      <w:r>
        <w:t>Bundesstrafgericht, 2020-09-11, DE</w:t>
      </w:r>
    </w:p>
    <w:p>
      <w:r>
        <w:rPr>
          <w:b/>
        </w:rPr>
        <w:t xml:space="preserve">Quelle: </w:t>
      </w:r>
      <w:r>
        <w:t>https://mcp.opencaselaw.ch/entscheid/bstger_RH.2020.9</w:t>
      </w:r>
    </w:p>
    <w:p>
      <w:r>
        <w:t>FR: TPF RH.2020.9 du 11 septembre 2020</w:t>
      </w:r>
    </w:p>
    <w:p>
      <w:r>
        <w:t>IT: TPF RH.2020.9 del 11 settembre 2020</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ist das Schengener Durchführungsübereinkommen vom 14. Juni 1985 (SDÜ; ABl. L 239 vom 22. September 2000, S. 19-62) i.V.m. dem Beschluss des Rates über die Einrichtung, den Betrieb und die Nutzung des SIS der zweiten Ge- neration (SIS II), namentlich Art. 26-31 (ABl. L 205 vom 7. August 2007, S. 63-84) anwendbar, wobei die zwischen den Vertragsparteien geltenden weitergehenden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w:t>
      </w:r>
    </w:p>
    <w:p>
      <w:r>
        <w:t>- 4 -</w:t>
      </w:r>
    </w:p>
    <w:p>
      <w:r>
        <w:t>Organisation der Strafbehörden des Bundes [Strafbehördenorganisations- gesetz, StBOG; SR 173.71]).</w:t>
      </w:r>
    </w:p>
    <w:p>
      <w:r>
        <w:rPr>
          <w:b/>
        </w:rPr>
        <w:t>E. 2</w:t>
      </w:r>
    </w:p>
    <w:p>
      <w:r>
        <w:t>Gegen den Auslieferungshaftbefehl des BJ kann der Verfolgte innert zehn Tagen ab der schriftlichen Eröffnung bei der Beschwerdekammer des Bun- desstrafgerichts Beschwerde erheben (Art. 48 Abs. 2 IRSG). Der angefoch- tene Auslieferungshaftbefehl ist dem Beschwerdeführer am 20. August 2020 ausgehändigt worden. Die am 26. August 2020 erhobene Beschwerde er- weist sich als fristgerecht. Die übrigen Eintretensvoraussetzungen geben keinen Anlass zu Bemerkungen. Auf die Beschwerde ist einzutreten.</w:t>
      </w:r>
    </w:p>
    <w:p>
      <w:r>
        <w:rPr>
          <w:b/>
        </w:rPr>
        <w:t>E. 3.1</w:t>
      </w:r>
    </w:p>
    <w:p>
      <w:r>
        <w:t>Der Beschwerdeführer stellt in seiner persönlich erhobenen Beschwerde zu- nächst den prozessualen Antrag auf Durchführung einer mündlichen Anhö- rung.</w:t>
      </w:r>
    </w:p>
    <w:p>
      <w:r>
        <w:rPr>
          <w:b/>
        </w:rPr>
        <w:t>E. 3.2</w:t>
      </w:r>
    </w:p>
    <w:p>
      <w:r>
        <w:t>Im Rahmen der Beschwerde in Auslieferungssachen ans Bundesstrafgericht sieht weder das VwVG noch das IRSG eine mündliche öffentliche Verhand- lung vor. Vielmehr ist das Verfahren vor der Beschwerdekammer des Bun- desstrafgerichts im Grundsatz schriftlich. Eine mündliche Parteiverhandlung kann nach richterlichem Ermessen angeordnet werden (Art. 57 Abs. 2 VwVG). Dies kann insbesondere nötig sein, wenn Beweiserhebungen durch das Gericht sachlich notwendig erscheinen oder wenn die grundrechtlich ga- rantierten Parteirechte eine öffentliche Anhörung verlangen. Art. 6 Ziff. 1 EMRK schreibt eine öffentliche Parteianhörung bei Verfahren betreffend zi- vilrechtliche Ansprüche und Verpflichtungen vor sowie bei Urteilen über straf- rechtliche Anklagen. Das Rechtshilfeverfahren stellt kein Strafverfahren dar, bei dem durch den Rechtshilferichter über die allfällige Schuld und Strafe zu entscheiden wäre. Vielmehr werden Rechtshilfeverfahren als verwaltungs- rechtliche Streitsachen betrachtet, was auch für Auslieferungsverfahren und insbesondere Auslieferungshaftverfahren gilt (Urteile des Bundesgerichtes 1A.247/2005 vom 25. Oktober 2005 E. 2.2; 1A.225/2003 vom 25. Novem- ber 2003 E. 1.5, je m.w.H.; s. auch Entscheide des Bundesstrafgerichts RR.2016.67 + 56 vom 27. September 2016 E. 5.2; RR.2011.91 vom</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5.1</w:t>
      </w:r>
    </w:p>
    <w:p>
      <w:r>
        <w:t>Der Beschwerdeführer macht geltend, es bestehe weder Verdunkelungs- noch Fluchtgefahr. Seine Verwurzelung in der Schweiz spreche klar gegen eine Fluchtgefahr. Hier habe er seit dem 1. Februar 2020 eine gute Arbeits- stelle als Einrichtungsberater mit Arbeitsort bei Möbel B. in Z. Bei Entlassung aus der Haft würde er dort wieder arbeiten können, da der Arbeitgeber mit den Leistungen des Beschwerdeführers sehr zufrieden sei. Zudem verfüge er über eine schöne Wohnung, in der er zusammen mit seiner Partnerin lebe.</w:t>
      </w:r>
    </w:p>
    <w:p>
      <w:r>
        <w:t>- 6 -</w:t>
      </w:r>
    </w:p>
    <w:p>
      <w:r>
        <w:t>Der Beschwerdeführer habe sich innert kürzester Zeit eine Existenz aufge- baut und sehe seine Zukunft zusammen mit seiner Partnerin. Es gäbe daher für den Beschwerdeführer keinen Grund, die Schweiz zu verlassen.</w:t>
      </w:r>
    </w:p>
    <w:p>
      <w:r>
        <w:rPr>
          <w:b/>
        </w:rPr>
        <w:t>E. 5.2</w:t>
      </w:r>
    </w:p>
    <w:p>
      <w:r>
        <w:t>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Zunächst ist festzuhalten, dass dem Beschwerdeführer in Deutschland eine mehrjährige Freiheitsstrafe droht, deren Aussetzung auf Bewährung – so die deutschen Behörden – ausgeschlossen sei (act. 7.1a). Hinzu kommt die Vollstreckung einer Rest- freiheitsstrafe von 751 Tagen. Der Beschwerdeführer muss somit im Falle einer Auslieferung mit einer langen Freiheitsstrafe rechnen, weshalb gestützt auf die angeführte Rechtsprechung von einer hohen Fluchtgefahr auszuge- hen ist. Der Beschwerdeführer lebt zudem erst seit gut sieben Monaten in der Schweiz, weshalb nicht ohne Weiteres anzunehmen ist, es bestehe eine derartige Verbundenheit mit diesem Land, dass deshalb die Fluchtgefahr ge- bannt wäre. Die Tatsache, dass der Beschwerdeführer einer Arbeit nach- geht, genügt nicht. Ebensowenig der Umstand, dass er mit seiner Partnerin in der Schweiz zusammenlebt. Nach konstanter Rechtsprechung werden Abgabe der Reisedokumente, Schriftensperre, Meldepflicht und Electronic Monitoring nur in Kombination mit einer sehr substantiellen Sicherheitsleis- tung als überhaupt geeignet erachtet, Fluchtgefahr ausreichend zu bannen (Entscheide des Bundesstrafgerichts RH.2017.17 vom 2. Oktober 2017 E. 5.4.4; RH.2015.20 vom 1. September 2015 E. 5.3.2; RH.2015.10 vom</w:t>
      </w:r>
    </w:p>
    <w:p>
      <w:r>
        <w:rPr>
          <w:b/>
        </w:rPr>
        <w:t>E. 10</w:t>
      </w:r>
    </w:p>
    <w:p>
      <w:r>
        <w:t>Juni 2015 E. 5.3; RH.2015.4 vom 23. Februar 2015 E. 5.2). Der Be- schwerdeführer bietet eine Sicherheitsleistung von CHF 14'000.-- an. Zu be- achten ist, dass das BJ die Auslieferung am 8. September 2020 bereits ver- fügt hat. Die Dauer der zu erwartenden Strafe und die drohende Auslieferung schaffen eine hohe Fluchtgefahr, dergestalt, dass auch die Leistung einer Kaution, die angeblich fast sein gesamtes Vermögen von derzeit CHF 17'039.72 beschlage, die Verfügbarkeit des Beschwerdeführers für eine Auslieferung nicht sicherstellen könnte. Unter diesen Umständen kann der hohen Fluchtgefahr nicht mit einer Ersatzmassnahme begegnet werden. Bei diesem eindeutigen Prüfungsergebnis bezüglich der Fluchtgefahr sind die Einwendungen betreffend die Kollusionsgefahr nicht weiter zu untersu- chen.</w:t>
      </w:r>
    </w:p>
    <w:p>
      <w:r>
        <w:t>- 7 -</w:t>
      </w:r>
    </w:p>
    <w:p>
      <w:r>
        <w:t>6. Soweit schliesslich der Beschwerdeführer in seiner Beschwerde die Recht- mässigkeit und Gültigkeit des ausländischen Haftbefehls bestreitet, indem er ausführt, es gäbe ein Urteil des Europäischen Gerichtshofes, in welchem sinngemäss stehe, dass die deutsche Justiz wegen fehlender Rechtsstaat- lichkeit keine internationalen Haftbefehle mehr ausstellen dürfe, ist ihm wie folgt zu entgegnen: Die Gültigkeit von ausländischen Verfahrensentscheiden wird nur ausnahmsweise, wenn besonders schwere Verletzungen des aus- ländischen Rechts vorliegen, überprüft. Dies ist der Fall, wenn das Rechts- hilfeersuchen bzw. Auslieferungsersuchen rechtsmissbräuchlich erscheint und Zweifel aufkommen, ob die grundsätzlichen Verteidigungsrechte im aus- ländischen Verfahren gewahrt werden bzw. gewahrt worden sind (Urteil des Bundesgerichts 1A.15/2002 vom 5. März 2002 E. 3.2; Entscheid des Bun- desstrafgerichts RH.2014.3 vom 5. März 2014 E. 9.4). Was der Beschwer- deführer in diesem Zusammenhang vorbringt, rechtfertigt eine nur aus- nahmsweise vorzunehmende Überprüfung des ausländischen Haftbefehls grundsätzlich nicht. Im Übrigen geht es bei der vom Beschwerdeführer an- gesprochenen Rechtsprechung des Europäischen Gerichtshofes um die Ausstellung von Europäischen Haftbefehlen durch deutsche Staatsanwalt- schaften. Nach Ansicht des Europäischen Gerichtshofes bieten diese keine hinreichende Gewähr für die Unabhängigkeit gegenüber der Exekutive, um zur Ausstellung eines Europäischen Haftbefehls befugt zu sein (vgl. Presse- mitteilung Nr. 68/19 des Europäischen Gerichtshofes https://curia.eu- ropa.eu/jcms/upload/docs/application/pdf/2019-05/cp190068de.pdf). Vorlie- gend ist der Haftbefehl vom 2. Dezember 2019 jedoch nicht von einer deut- schen Staatsanwaltschaft, sondern vom Landgericht Leipzig ausgestellt wor- den. Der Beschwerdeführer ist somit mit seiner diesbezüglichen Rüge nicht zu hören.</w:t>
      </w:r>
    </w:p>
    <w:p>
      <w:r>
        <w:t>7. Andere Gründe, welche eine Auslieferung offensichtlich ausschliessen oder sonst zu einer Aufhebung der Auslieferungshaft zu führen vermöchten, wer- den weder geltend gemacht noch sind solche ersichtlich.</w:t>
      </w:r>
    </w:p>
    <w:p>
      <w:r>
        <w:t>Die Beschwerde ist damit als unbegründet abzuweisen.</w:t>
      </w:r>
    </w:p>
    <w:p>
      <w:r>
        <w:t>8. Bei diesem Ausgang des Verfahrens sind die Gerichtskosten dem Beschwer- deführer aufzuerlegen (Art. 63 Abs. 1 VwVG). Die Gerichtsgebühr ist auf Fr. 2‘000.– festzusetzen (Art. 63 Abs. 5 VwVG und Art. 73 StBOG sowie Art. 5 und 8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