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RH.2020.2 vom 11. Februar 2020</w:t>
      </w:r>
    </w:p>
    <w:p>
      <w:r>
        <w:t>Bundesstrafgericht, 2020-02-11, FR</w:t>
      </w:r>
    </w:p>
    <w:p>
      <w:r>
        <w:rPr>
          <w:b/>
        </w:rPr>
        <w:t xml:space="preserve">Quelle: </w:t>
      </w:r>
      <w:r>
        <w:t>https://mcp.opencaselaw.ch/entscheid/bstger_RH.2020.2</w:t>
      </w:r>
    </w:p>
    <w:p>
      <w:r>
        <w:t>FR: TPF RH.2020.2 du 11 février 2020</w:t>
      </w:r>
    </w:p>
    <w:p>
      <w:r>
        <w:t>IT: TPF RH.2020.2 del 11 febbraio 2020</w:t>
      </w:r>
    </w:p>
    <w:p>
      <w:pPr>
        <w:pStyle w:val="Heading2"/>
      </w:pPr>
      <w:r>
        <w:t>Regeste</w:t>
      </w:r>
    </w:p>
    <w:p>
      <w:r>
        <w:t>Entraide judiciaire internationale en matière pénale à la Bosnie-Herzégovine. Mandat d'arrêt en vue d'extradition (art. 48 al. 2 EIMP). Assistance judiciaire (art. 65 PA).</w:t>
      </w:r>
    </w:p>
    <w:p>
      <w:pPr>
        <w:pStyle w:val="Heading2"/>
      </w:pPr>
      <w:r>
        <w:t>Erwägungen</w:t>
      </w:r>
    </w:p>
    <w:p>
      <w:r>
        <w:rPr>
          <w:b/>
        </w:rPr>
        <w:t>E. 1.1</w:t>
      </w:r>
    </w:p>
    <w:p>
      <w:r>
        <w:t>La procédure d'extradition entre la Suisse et la Bosnie-Herzégovine est prioritairement régie par la Convention européenne d'extradition du 13 décembre 1957 (CEExtr; RS 0.353.1), entrée en vigueur pour la Suisse le 20 mars 1967 et pour la Bosnie-Herzégovine le 24 juillet 2005, et par les trois protocoles additionnels à la CEExtr (RS 0.353.11, RS 0.353.12 et RS.0.353.13), les deux premiers étant entrés en vigueur pour la Suisse le 9 juin 1985 et pour la Bosnie- Herzégovine le 24 juillet 2005, respectivement le troisième le 1er novembre 2016 et le 1er avril 2015.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w:t>
      </w:r>
    </w:p>
    <w:p>
      <w:r>
        <w:rPr>
          <w:b/>
        </w:rPr>
        <w:t>E. 1.3</w:t>
      </w:r>
    </w:p>
    <w:p>
      <w:r>
        <w:t>Adressé par la personne visée par le mandat d’arrêt à titre extraditionnel dans le délai de dix jours à compter de la notification du mandat d'arrêt (cf. art. 48 al. 2 EIMP), le recours est formellement recevable.</w:t>
      </w:r>
    </w:p>
    <w:p>
      <w:r>
        <w:t>- 4 -</w:t>
      </w:r>
    </w:p>
    <w:p>
      <w:r>
        <w:rPr>
          <w:b/>
        </w:rPr>
        <w:t>E. 2</w:t>
      </w:r>
    </w:p>
    <w:p>
      <w:r>
        <w:t>En l’espèce, l’objet de la contestation est le mandat d’arrêt en vue d’extradition, rendue le 3 décembre 2019 par l’OFJ, ordonnant la mise en détention extradi- tionnel du recourant.</w:t>
      </w:r>
    </w:p>
    <w:p>
      <w:r>
        <w:rPr>
          <w:b/>
        </w:rPr>
        <w:t>E. 3.1.1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130 II 306 consid. 2.2; 130 II 306 consid. 2.2).</w:t>
      </w:r>
    </w:p>
    <w:p>
      <w:r>
        <w:rPr>
          <w:b/>
        </w:rPr>
        <w:t>E. 3.1.2</w:t>
      </w:r>
    </w:p>
    <w:p>
      <w:r>
        <w:t>Le recourant retient que l’OFJ a établi les faits de façon erronée et incomplète, dès lors que la décision litigieuse ne fait pas état dans la procédure bosnienne de la violation de ses droits élémentaires garantis par les art. 3, 6 et 8 CEDH. Il explique avoir été « attaché à son lit durant plusieurs mois et sédaté de force », ne pas avoir eu « d’autre choix que de signer un accord du culpabilité » et ne pas avoir « reçu d’information ou de notification de la continuation de la procédure pénale en Bosnie-Herzégovine » (recours p. 8-9).</w:t>
      </w:r>
    </w:p>
    <w:p>
      <w:r>
        <w:rPr>
          <w:b/>
        </w:rPr>
        <w:t>E. 3.1.3</w:t>
      </w:r>
    </w:p>
    <w:p>
      <w:r>
        <w:t>Force est de constater que les arguments avancés par le recourant relatifs à la violation de ses droits fondamentaux ont trait à la procédure d'extradition au fond et devront donc être soulevés dans ce contexte. Ils ne constituent pas à ce stade un motif de libération au sens des art. 47 ss EIMP. Le recourant a d’ailleurs précisé dans son mémoire de recours (p. 8) être informé que la Cour de céans n’avait pas à ce stade à se prononcer sur le bien-fondé de la demande d’extradition, mais a malgré tout jugé nécessaire de mentionner les violations alléguées. Pour les mêmes motifs, la Cour n’examinera pas les éventuelles contradictions – soulevées par l’OFJ, mais contestées par le recourant – entre le mémoire de recours et les déclarations faites par l’intéressé lors de son audition du 17 janvier 2020 devant le procureur neuchâtelois.</w:t>
      </w:r>
    </w:p>
    <w:p>
      <w:r>
        <w:t>- 5 -</w:t>
      </w:r>
    </w:p>
    <w:p>
      <w:r>
        <w:rPr>
          <w:b/>
        </w:rPr>
        <w:t>E. 3.2.1</w:t>
      </w:r>
    </w:p>
    <w:p>
      <w:r>
        <w:t>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 Selon la jurisprudence, l'exception du caractère manifestement inadmissible de l'extradition ne trouve application que si l'une des hypothèses réservées aux art. 2 à 5 EIMP est sans aucun doute réalisée (arrêt du Tribunal pénal fédéral RR.2007.178 du 29 novembre 2007 consid. 4.6 et les références citées). Selon l'art. 50 al. 3 EIMP, la détention peut prendre fin à n'importe quel stade de la procédure et la demande de mise en liberté peut être présentée en tout temps. Cependant, l'élargissement conserve un caractère exceptionnel et doit être justifié par les circonstances (art. 50 al. 3 EIMP).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rPr>
          <w:b/>
        </w:rPr>
        <w:t>E. 3.2.2</w:t>
      </w:r>
    </w:p>
    <w:p>
      <w:r>
        <w:t>Le recourant conteste sa mise en détention au motif que, contrairement à ce qu’a retenu l’OFJ, il ne s’est pas soustrait aux autorités pénales bosniennes mais est simplement venu s’établir en Suisse; il n’a par la suite pas reçu d’information ou de notification quant à la suite de la procédure pénale dans l’Etat requérant (recours p. 8). En outre, selon lui, l’OFJ ne tient pas compte, à tort, de sa situation personnelle, familiale et professionnelle, qui plaide en faveur de sa libération immédiate (recours p. 10-11; réplique p. 2-3). Titulaire d’un permis B, l’intéressé explique travailler depuis 3 ans à 100% en Suisse et être durablement établi. De plus, il prétend subvenir seul au ménage familial, vivant notamment avec son épouse et leurs deux enfants nés en 2017 et 2019. Le recourant souligne que l’état de santé de leur enfant aîné pourrait régresser suite à un changement de ses habitudes (ne plus voir son père ou déménager), dès lors qu’il est atteint de problèmes de développement et de troubles autistiques (cf. attestation médicale du 22 janvier 2020 du médecin spécialiste FMH en pédiatrie [act. 1.5]).</w:t>
      </w:r>
    </w:p>
    <w:p>
      <w:r>
        <w:rPr>
          <w:b/>
        </w:rPr>
        <w:t>E. 3.2.3</w:t>
      </w:r>
    </w:p>
    <w:p>
      <w:r>
        <w:t>L’OFJ a retenu que le recourant aurait bel et bien cherché à se soustraire à la justice bosnienne en fuyant la Bosnie-Herzégovine après le prononcé des jugements et en tentant d’obtenir l’asile en France. De plus, d’après l’OFJ, un établissement en Suisse depuis trois ans ne constitue pas des attaches stables et de longue durée dans ce pays. Enfin, l’OFJ relève que l’intéressé a laissé son</w:t>
      </w:r>
    </w:p>
    <w:p>
      <w:r>
        <w:t>- 6 -</w:t>
      </w:r>
    </w:p>
    <w:p>
      <w:r>
        <w:t>premier fils en Bosnie-Herzégovine, démontrant ainsi que le fait d’avoir une famille ne semble pas exclure un risque de fuite.</w:t>
      </w:r>
    </w:p>
    <w:p>
      <w:r>
        <w:rPr>
          <w:b/>
        </w:rPr>
        <w:t>E. 3.2.4</w:t>
      </w:r>
    </w:p>
    <w:p>
      <w:r>
        <w:t>En l’espèce, le recourant a été condamné à trois ans de prison pour des faits qualifiés de banditisme en Bosnie-Herzégovine. Au vu de cette peine assez lourde, même si le recourant travaille et réside en Suisse avec son épouse et ses deux enfants, l’on ne saurait pour autant admettre un ancrage solide voire définitif dans ce pays propre à exclure un risque de fuite. En effet, la faible durée du séjour en Suisse (3 ans) n’est pas suffisante pour admettre l’absence de risque de fuite, pas plus que sa place de travail où il exerce depuis quelques mois seulement. De plus, sa famille ne dispose pas d’attache particulière avec la Suisse: d’une part, sa mère réside encore en Bosnie-Herzégovine, tout comme son premier fils âgé de 6 ou</w:t>
      </w:r>
    </w:p>
    <w:p>
      <w:r>
        <w:rPr>
          <w:b/>
        </w:rPr>
        <w:t>E. 3.3.1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t>- 7 -</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3.3.2</w:t>
      </w:r>
    </w:p>
    <w:p>
      <w:r>
        <w:t>Le recourant indique que sa libération immédiate sera assortie si besoin d’autres mesures tels que la présentation régulière à un poste de police et éventuellement le dépôt d’une caution adaptée à sa capacité financière (recours p. 10-11).</w:t>
      </w:r>
    </w:p>
    <w:p>
      <w:r>
        <w:rPr>
          <w:b/>
        </w:rPr>
        <w:t>E. 3.3.3</w:t>
      </w:r>
    </w:p>
    <w:p>
      <w:r>
        <w:t>En l’espèce, le risque de fuite particulièrement élevé n'est pas susceptible d'être notablement réduit par les mesures de substitution évoquées. La surveillance électronique proposée par le recourant doit, d'une part, être complémentaire au dépôt d'une caution suffisante et, d'autre part, une telle mesure ne suffit pas à elle seule à éviter la fuite de l'intéressé, mais uniquement à la constater (cf. arrêts du Tribunal pénal fédéral RH.2015.18 du 25 août 2015 consid. 6; RR.2011.133 du 29 juin 2011 consid. 3.4.2 et RR.2009.321 du 11 novembre 2009 consid. 3.3). De</w:t>
      </w:r>
    </w:p>
    <w:p>
      <w:r>
        <w:t>- 8 -</w:t>
      </w:r>
    </w:p>
    <w:p>
      <w:r>
        <w:t>même, l'assurance de se présenter régulièrement aux autorités n'est pas non plus de nature à réduire suffisamment le risque de fuite, bien qu'elle la complique. Les contrôles aux frontières ne sont en effet pas systématiques, de sorte que de telles mesures ne sont pas propres à exclure le risque que le recourant puisse se soustraire à l'extradition (arrêts du Tribunal pénal fédéral RH.2018.12 du 31 août 2018 consid. 2.2.4; RH.2018.6 du 18 mai 2018 consid. 2.2.4). Compte tenu de la situation du recourant, on ne voit pas quelle mesure serait susceptible de réduire le risque de fuite. Le grief doit, partant, être rejeté.</w:t>
      </w:r>
    </w:p>
    <w:p>
      <w:r>
        <w:t>4. Au vu de ce qui précède, le recours s'avère mal fondé et doit être rejeté.</w:t>
      </w:r>
    </w:p>
    <w:p>
      <w:r>
        <w:t>5. Le recourant sollicite l'octroi de l'assistance judiciaire gratuite. 5.1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w:t>
      </w:r>
    </w:p>
    <w:p>
      <w:r>
        <w:t>5.2 Cette condition n'est en l'espèce pas réalisée. En effet,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 Cette argumentation sur les chances de succès du recours est de plus conforme à la jurisprudence constante de la Cour de céans (v. entre autres arrêts du Tribunal pénal fédéral RH.2019.19 du 17 octobre 2019 consid. 5; RH.2019.20 du 24 octobre 2019 consid. 4). Partant, la demande d'assistance judicaire du recourant ne peut donc qu'être rejetée.</w:t>
      </w:r>
    </w:p>
    <w:p>
      <w:r>
        <w:t>6. Les frais de procédure sont mis à la charge du recourant qui succombe (cf. art. 63 al. 1 PA). L'émolument judiciaire, calculé conformément aux art. 5 et 8 al. 3 du règlement du 31 août 2010 sur les frais, émoluments, dépens et indemnités de la procédure pénale fédérale (RFPPF, RS 173.713.162; cf. art. 63 al. 5 PA) est fixé à CHF 500.--, compte tenu de la situation financière du recourant.</w:t>
      </w:r>
    </w:p>
    <w:p>
      <w:r>
        <w:t>- 9 -</w:t>
      </w:r>
    </w:p>
    <w:p>
      <w:r>
        <w:rPr>
          <w:b/>
        </w:rPr>
        <w:t>E. 7</w:t>
      </w:r>
    </w:p>
    <w:p>
      <w:r>
        <w:t>ans issu d’une précédente relation dans ce pays, et, d’autre part, son épouse, de nationalité bosnienne et titulaire d’un permis B, est entrée en Suisse qu’en 2010. De plus, vu la demande d’asile déposée en France, il est difficile de suivre le raisonnement du recourant selon lequel il n’aurait pas fui son pays mais aurait simplement voulu s’installer en Suisse. Il sied de rappeler que le Tribunal fédéral a rejeté la demande de remise en liberté jusqu'à l'éventuelle extradition d'une personne qui séjournait en Suisse depuis dix-huit ans et était mariée à une citoyenne suisse et était père d'enfants âgés de trois et huit ans, tous deux titulaires de la nationalité suisse, au motif qu'existait un risque de fuite nonobstant ces circonstances, dès lors que l'intéressé était menacé d'une lourde peine dans l'Etat requérant (arrêt du Tribunal fédéral 8G.45/2001 du 15 août 2001 consid. 3a). A la lumière de ce cas, force est de constater que la situation du recourant, qui ne peut être qualifiée de meilleure, n'est pas propre à entraîner une dérogation à la règle qu'est la détention. L’état de santé de l’enfant du recourant né en 2017 n’est pas propre à influencer le risque de fuite examiné ci-dessus. Au vu de ce qui précède, il convient d'admettre que le risque de fuite du recourant est réel et bien concret au vu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