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RH.2020.11 vom 21. Oktober 2020</w:t>
      </w:r>
    </w:p>
    <w:p>
      <w:r>
        <w:t>Bundesstrafgericht, 2020-10-21, DE</w:t>
      </w:r>
    </w:p>
    <w:p>
      <w:r>
        <w:rPr>
          <w:b/>
        </w:rPr>
        <w:t xml:space="preserve">Quelle: </w:t>
      </w:r>
      <w:r>
        <w:t>https://mcp.opencaselaw.ch/entscheid/bstger_RH.2020.11</w:t>
      </w:r>
    </w:p>
    <w:p>
      <w:r>
        <w:t>FR: TPF RH.2020.11 du 21 octobre 2020</w:t>
      </w:r>
    </w:p>
    <w:p>
      <w:r>
        <w:t>IT: TPF RH.2020.11 del 21 ottobre 2020</w:t>
      </w:r>
    </w:p>
    <w:p>
      <w:pPr>
        <w:pStyle w:val="Heading2"/>
      </w:pPr>
      <w:r>
        <w:t>Regeste</w:t>
      </w:r>
    </w:p>
    <w:p>
      <w:r>
        <w:t>Auslieferung an Portugal. Auslieferungshaftbefehl (Art. 48 Abs. 2 IRSG). Unentgeltliche Rechtspflege (Art. 65 VwVG).</w:t>
      </w:r>
    </w:p>
    <w:p>
      <w:pPr>
        <w:pStyle w:val="Heading2"/>
      </w:pPr>
      <w:r>
        <w:t>Erwägungen</w:t>
      </w:r>
    </w:p>
    <w:p>
      <w:r>
        <w:rPr>
          <w:b/>
        </w:rPr>
        <w:t>E. 1.1</w:t>
      </w:r>
    </w:p>
    <w:p>
      <w:r>
        <w:t>Für den Auslieferungsverkehr zwischen der Schweiz und Portugal sind pri- mär das Europäische Auslieferungsübereinkommen vom 13. Dezember 1957 (EAUe; SR 0.353.1) sowie das zu diesem Übereinkommen am 15. Ok- tober 1975 ergangene erste Zusatzprotokoll (1. ZP; SR 0.353.11), das am 17. März 1978 ergangene zweite Zusatzprotokoll (2. ZP; SR 0.353.12), das am 10. November 2010 ergangene dritte Zusatzprotokoll (3. ZP; SR 0.353.13) sowie das Schengener Durchführungsübereinkommen vom 14. Juni 1985 (SDÜ; ABl. L 239 vom 22. September 2000, S. 19-62) i.V.m. dem Beschluss des Rates über die Einrichtung, den Betrieb und die Nutzung des SIS der zweiten Generation (SIS II), namentlich Art. 26-31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w:t>
      </w:r>
    </w:p>
    <w:p>
      <w:r>
        <w:rPr>
          <w:b/>
        </w:rPr>
        <w:t>E. 1.3</w:t>
      </w:r>
    </w:p>
    <w:p>
      <w:r>
        <w:t>Für das Beschwerdeverfahren gelten zudem die Art. 379-397 StPO sinnge- mäss (Art. 48 Abs. 2 i.V.m. Art. 47 IRSG) sowie die Bestimmungen des VwVG (vgl. Art. 39 Abs. 2 lit. b i.V.m. Art. 37 Abs. 2 lit. a Ziff. 1 StBOG).</w:t>
      </w:r>
    </w:p>
    <w:p>
      <w:r>
        <w:rPr>
          <w:b/>
        </w:rPr>
        <w:t>E. 2</w:t>
      </w:r>
    </w:p>
    <w:p>
      <w:r>
        <w:t>Gegen den Auslieferungshaftbefehl des BJ kann der Verfolgte innert zehn Tagen ab der schriftlichen Eröffnung Beschwerde bei der Beschwerdekam- mer des Bundesstrafgerichts führen (Art. 48 Abs. 2 IRSG). Der Ausliefe- rungshaftbefehl ist dem Beschwerdeführer am 29. September 2020 ausge- händigt worden (act. 3.4). Die am 8. Oktober 2020 erhobene Beschwerde erweist sich als form- und fristgerecht. Die übrigen Eintretensvoraussetzun- gen geben keinen Anlass zu Bemerkungen. Auf die Beschwerde ist einzu- treten.</w:t>
      </w:r>
    </w:p>
    <w:p>
      <w:r>
        <w:t>- 4 -</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 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 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Der Beschwerdeführer bestreitet das Vorliegen von Fluchtgefahr. Er wohne seit 6 Jahren in der Schweiz und sei seither stets arbeitstätig sowie vollstän- dig integriert. Er lebe im Konkubinat mit B. zusammen mit deren beiden Kin- dern im Alter von 9 bzw. 10 Jahren und dem gemeinsamen Anfang 2020 geborenen Sohn. Er habe eine gefestigte Familien- und Arbeitsstruktur in der Schweiz. Bis zu einem Auslieferungsentscheid würde er in diese Strukturen zurückkehren und sich nicht etwa durch Flucht einem Auslieferungsent- scheid entziehen. Es sei nicht ersichtlich, inwiefern im Falle einer Haftentlas- sung er die Strafuntersuchung gefährden könne. Es liege eine umfassende</w:t>
      </w:r>
    </w:p>
    <w:p>
      <w:r>
        <w:t>- 5 -</w:t>
      </w:r>
    </w:p>
    <w:p>
      <w:r>
        <w:t>Anklage vor (act. 1 S. 3). In der Beschwerdereplik bestreitet er die Ausfüh- rungen des BJ und hält an seiner Darstellung fest (act. 5).</w:t>
      </w:r>
    </w:p>
    <w:p>
      <w:r>
        <w:rPr>
          <w:b/>
        </w:rPr>
        <w:t>E. 4.2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Im Lichte dieser restriktiven Praxis ist vorliegend mit dem Beschwerdegegner ohne Weiteres von Fluchtgefahr auszugehen. So hält sich der Beschwerdeführer erst seit wenigen Jahren in der Schweiz auf, weshalb noch nicht von einer besonders engen Bindung zur Schweiz auszugehen ist. Daran vermag auch der Umstand, dass er in der Schweiz bis zu seiner Festnahme eine Festanstellung hatte, welche er gemäss eigenen Angaben nach seiner Haftentlassung wieder aufnehmen könne, und hier zusammen mit seiner Partnerin, deren Kindern und dem ge- meinsamen Sohn lebt, nichts zu ändern. Der Beschwerdegegner hält sodann zutreffend fest, dass dem Beschwerdeführer in Portugal eine mehrjährige Freiheitsstrafe (Haftstrafe bis zu acht Jahren) droht (act. 3.1e). Zu Recht kommt der Beschwerdegegner zum Schluss, dass die sich aus den genann- ten Umständen ergebende Fluchtgefahr durch Ersatzmassnahmen nicht ge- bannt werden kann.</w:t>
      </w:r>
    </w:p>
    <w:p>
      <w:r>
        <w:t>Die Beschwerde erweist sich damit als unbegründet.</w:t>
      </w:r>
    </w:p>
    <w:p>
      <w:r>
        <w:rPr>
          <w:b/>
        </w:rPr>
        <w:t>E. 5.1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- 6 -</w:t>
      </w:r>
    </w:p>
    <w:p>
      <w:r>
        <w:rPr>
          <w:b/>
        </w:rPr>
        <w:t>E. 5.2</w:t>
      </w:r>
    </w:p>
    <w:p>
      <w:r>
        <w:t>Nach dem oben Ausgeführten muss die vorliegende Beschwerde als aus- sichtslos bezeichnet werden. Aus diesem Grund ist das Gesuch um unent- geltliche Rechtspflege abzuweisen. Bei der Festsetzung der Gerichtsgebühr kann gemäss Art. 63 Abs. 4bis VwVG der womöglich schwierigen finanziellen Situation des Beschwerdeführers Rechnung getragen werden.</w:t>
      </w:r>
    </w:p>
    <w:p>
      <w:r>
        <w:rPr>
          <w:b/>
        </w:rPr>
        <w:t>E. 6</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