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RH.2020.10 vom 23. September 2020</w:t>
      </w:r>
    </w:p>
    <w:p>
      <w:r>
        <w:t>Bundesstrafgericht, 2020-09-23, DE</w:t>
      </w:r>
    </w:p>
    <w:p>
      <w:r>
        <w:rPr>
          <w:b/>
        </w:rPr>
        <w:t xml:space="preserve">Quelle: </w:t>
      </w:r>
      <w:r>
        <w:t>https://mcp.opencaselaw.ch/entscheid/bstger_RH.2020.10</w:t>
      </w:r>
    </w:p>
    <w:p>
      <w:r>
        <w:t>FR: TPF RH.2020.10 du 23 septembre 2020</w:t>
      </w:r>
    </w:p>
    <w:p>
      <w:r>
        <w:t>IT: TPF RH.2020.10 del 23 settembre 2020</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ZPIV EAUe; SR. 0353.14)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sowie Art. 26 ff. des Beschlus- ses des Rates über die Einrichtung, den Betrieb und die Nutzung des SIS der zweiten Generation (SIS II; ABl. L 205 vom 7. August 2007, S. 63-84), wobei die zwischen den Vertragsparteien geltenden weitergehenden Best- immungen aufgrund bilateraler Abkommen unberührt bleiben (Art. 59 Abs. 2 SDÜ).</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(Rechtshilfeverordnung, IRSV; SR 351.11). Das innerstaatliche Recht ge- langt nach dem Günstigkeitsprinzip auch dann zur Anwendung, wenn dieses geringere Anforderungen an die Auslieferung stellt (BGE 142 IV 250 E. 3 S. 255; 140 IV 123 E. 2; 137 IV 33 E. 2.2.2; 136 IV 82 E. 3.1). Vorbehalten bleibt die Wahrung der Menschenrechte (BGE 135 IV 212 E. 2.3; 123 II 595 E. 7c; TPF 2008 24 E. 1.1 S. 26).</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w:t>
      </w:r>
    </w:p>
    <w:p>
      <w:r>
        <w:t>Gegen den Auslieferungshaftbefehl des BJ kann der Verfolgte innert zehn Tagen ab der schriftlichen Eröffnung bei der Beschwerdekammer des Bun- desstrafgerichts Beschwerde erheben (Art. 48 Abs. 2 IRSG). Der angefoch-</w:t>
      </w:r>
    </w:p>
    <w:p>
      <w:r>
        <w:t>- 4 -</w:t>
      </w:r>
    </w:p>
    <w:p>
      <w:r>
        <w:t>tene Auslieferungshaftbefehl ist dem Beschwerdeführer am 31. August 2020 ausgehändigt worden. Die am 9. September 2020 erhobene Beschwerde er- weist sich als fristgerecht. Die übrigen Eintretensvoraussetzungen geben keinen Anlass zu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 desstrafgerichts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verneint das Bestehen von Fluchtgefahr. Er führe eine kleine Bar in Zürich, wobei ihm diese Aktivität erlaube, seit geraumer Zeit selbständig für sein Leben aufzukommen. Als Unternehmer sei er auf</w:t>
      </w:r>
    </w:p>
    <w:p>
      <w:r>
        <w:t>- 5 -</w:t>
      </w:r>
    </w:p>
    <w:p>
      <w:r>
        <w:t>diese Arbeitsstelle angewiesen. Würde er sich absetzen, wären sämtliche Bemühungen und Investitionen der vergangenen Jahre vergeblich. Der Le- bensmittelpunkt des Beschwerdeführers sei seit zehn Jahren in der Schweiz, wo er auch geboren sei und seine Schul- und Jugendzeit verbracht habe. Hier lebe sein Sohn und seine ganze Familie, bestehend aus Eltern, allen Geschwistern sowie Onkel und Tanten, von denen er tatkräftig unterstützt werde. Zu den Verwandten in Italien habe er keinerlei Beziehung, und er habe selbst während seinen Italienaufenthalten vor rund 20 Jahren nie in den Herkunftsregionen seiner Eltern gelebt. Vor diesem Hintergrund sei keine Fluchtgefahr erkennbar, zumal ihm bereits alle Legitimationspapiere, wie Pass und Ausländerausweise, abgenommen worden seien. Ohne beim itali- enischen Konsulat vorstellig zu werden, sei es praktisch unmöglich, die Schweiz zu verlassen (act. 1 S. 3).</w:t>
      </w:r>
    </w:p>
    <w:p>
      <w:r>
        <w:rPr>
          <w:b/>
        </w:rPr>
        <w:t>E. 4.2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So wurde beispielsweise die Mög- lichkeit einer Verurteilung zu einer langen Freiheitsstrafe zur Verweigerung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 Zunächst ist fest- zuhalten, dass der Tatvorwurf gegenüber dem Beschwerdeführer schwer wiegt. Er ist in Italien zu einer Strafe von knapp zehn Jahren verurteilt worden und muss somit im Falle einer Auslieferung mit einer langen Freiheitsstrafe rechnen, weshalb gestützt auf die angeführte Rechtsprechung von einer ho- hen Fluchtgefahr auszugehen ist. Zwar kann aufgrund der Tatsache, dass der Beschwerdeführer eigenen Angaben zufolge die letzten zehn Jahre in der Schweiz gewohnt hat, hier einer Arbeit nachgeht und auch seine Familie in der Schweiz lebt, davon ausgegangen werden, er sei mit diesem Land verbunden. Allerdings ist diese Verbindung nicht dergestalt, dass deshalb die hohe Fluchtgefahr gebannt wäre. Über das Alter seines Sohnes ist zu- dem nichts bekannt. Der Beschwerdeführer ist ferner 45-jährig und damit</w:t>
      </w:r>
    </w:p>
    <w:p>
      <w:r>
        <w:t>- 6 -</w:t>
      </w:r>
    </w:p>
    <w:p>
      <w:r>
        <w:t>vergleichsweise jung, was gemäss bundesgerichtlicher Rechtsprechung eine Flucht eher wahrscheinlich erscheinen lässt als bei jemandem in fortge- schrittenem Alter (BGE 136 IV 20 E. 2.3 m.w.H.). Der Beschwerdegegner geht daher zu Recht von einer erheblichen Fluchtgefahr aus. Dieser kann sodann auch nicht mit den vom Beschwerdeführer erwähnten Ersatzmass- nahmen (Schriftensperre, Meldepflicht, Kaution und elektronisches Monito- ring) begegnet werden. Nach konstanter Rechtsprechung werden solche nur in Kombination mit einer sehr substantiellen Sicherheitsleistung als über- haupt geeignet erachtet, Fluchtgefahr ausreichend zu bannen (Entscheide des Bundesstrafgerichts RH.2019.27 vom 9. Januar 2020 E. 4.2; RH.2017.17 vom 2. Oktober 2017 E. 5.4.4; RH.2015.20 vom 1. September 2015 E. 5.3.2; RH.2015.10 vom 10. Juni 2015 E. 5.3; RH.2015.4 vom 23. Februar 2015 E. 5.2). Der Beschwerdeführer äussert sich nicht zur Höhe einer allfälligen Sicherheitsleistung, er macht lediglich geltend, seine Familie sei bereit, ihm eine Kaution zu stellen, soweit diese nicht den Rahmen ihrer Möglichkeiten sprenge. Eine Ersatzmassnahme, welche die Fluchtgefahr zu reduzieren vermöchte, ist damit nicht erkennbar.</w:t>
      </w:r>
    </w:p>
    <w:p>
      <w:r>
        <w:rPr>
          <w:b/>
        </w:rPr>
        <w:t>E. 5.1</w:t>
      </w:r>
    </w:p>
    <w:p>
      <w:r>
        <w:t>Der Beschwerdeführer bringt sodann vor, zwei der drei italienischen Urteile, die angeblich zur Vollstreckung anstehen würden, hätten mit Vorgängen zu tun, die sich vor 15 und mehr Jahren zugetragen hätten. Was diese Urteile anbelange, werde eine Verletzung des Grundsatzes «ne bis in idem» zur Debatte stehen. Ausserdem sei davon auszugehen, dass ein Teil der Strafen bereits verjährt sei. Beim dritten Urteil gehe es demgegenüber um ein Abwe- senheitsurteil. Diesbezüglich werde zu prüfen sein, ob und inwiefern eine Wiederholung zentraler Prozessschritte in Italien möglich oder realistisch sein werde. Schliesslich seien sowohl beim zweiten wie auch dritten Urteil verdeckte Ermittler im Spiel gewesen. Es sei anzunehmen, dass diese ver- pönte und somit unzulässige Aktivitäten entwickelt hätten, was Fragen des ordre public aufwerfe. Im gleichen Rahmen werde auch zu prüfen sein, ob die Grundsätze einer gehörigen Verteidigung in diesen italienischen Verfah- ren respektiert worden seien.</w:t>
      </w:r>
    </w:p>
    <w:p>
      <w:r>
        <w:rPr>
          <w:b/>
        </w:rPr>
        <w:t>E. 5.2</w:t>
      </w:r>
    </w:p>
    <w:p>
      <w:r>
        <w:t>Diese Einwendungen betreffen die Auslieferung selbst und sind daher nicht im vorliegenden Verfahren, sondern im eigentlichen Auslieferungsverfahren zu prüfen. Jedenfalls zeigt der Beschwerdeführer mit seiner Kritik keine Gründe auf, welche seine Auslieferung ohne jeden Zweifel und ohne weitere Abklärungen als offensichtlich unzulässig erscheinen lassen (vgl. supra E. 3).</w:t>
      </w:r>
    </w:p>
    <w:p>
      <w:r>
        <w:t>- 7 -</w:t>
      </w:r>
    </w:p>
    <w:p>
      <w:r>
        <w:rPr>
          <w:b/>
        </w:rPr>
        <w:t>E. 6</w:t>
      </w:r>
    </w:p>
    <w:p>
      <w:r>
        <w:t>Andere Gründe, welche eine Auslieferung offensichtlich auszuschliessen oder sonst zu einer Aufhebung der Auslieferungshaft zu führen vermöchten, werden weder geltend gemacht noch sind solche ersichtlich.</w:t>
      </w:r>
    </w:p>
    <w:p>
      <w:r>
        <w:t>Die Beschwerde ist damit als unbegründet abzuweisen.</w:t>
      </w:r>
    </w:p>
    <w:p>
      <w:r>
        <w:rPr>
          <w:b/>
        </w:rPr>
        <w:t>E. 7</w:t>
      </w:r>
    </w:p>
    <w:p>
      <w:r>
        <w:t>Bei diesem Ausgang des Verfahrens sind die Gerichtskosten dem Be- schwerdeführer aufzuerlegen (Art. 63 Abs. 1 VwVG). Die Gerichtsgebühr ist auf Fr. 2‘000.– festzusetzen (Art. 63 Abs. 5 VwVG und Art. 73 StBOG sowie Art. 5 und 8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