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RH.2020.1 vom 11. Februar 2020</w:t>
      </w:r>
    </w:p>
    <w:p>
      <w:r>
        <w:t>Bundesstrafgericht, 2020-02-11, FR</w:t>
      </w:r>
    </w:p>
    <w:p>
      <w:r>
        <w:rPr>
          <w:b/>
        </w:rPr>
        <w:t xml:space="preserve">Quelle: </w:t>
      </w:r>
      <w:r>
        <w:t>https://mcp.opencaselaw.ch/entscheid/bstger_RH.2020.1</w:t>
      </w:r>
    </w:p>
    <w:p>
      <w:r>
        <w:t>FR: TPF RH.2020.1 du 11 février 2020</w:t>
      </w:r>
    </w:p>
    <w:p>
      <w:r>
        <w:t>IT: TPF RH.2020.1 del 11 febbraio 2020</w:t>
      </w:r>
    </w:p>
    <w:p>
      <w:pPr>
        <w:pStyle w:val="Heading2"/>
      </w:pPr>
      <w:r>
        <w:t>Regeste</w:t>
      </w:r>
    </w:p>
    <w:p>
      <w:r>
        <w:t>Extradition à la Serbie. Mandat d'arrêt en vue d'extradition (art. 48 al. 2 EIMP). Assistance judiciaire gratuite (art. 65 PA). Effet suspensif (art. 80l EIMP).</w:t>
      </w:r>
    </w:p>
    <w:p>
      <w:pPr>
        <w:pStyle w:val="Heading2"/>
      </w:pPr>
      <w:r>
        <w:t>Erwägungen</w:t>
      </w:r>
    </w:p>
    <w:p>
      <w:r>
        <w:rPr>
          <w:b/>
        </w:rPr>
        <w:t>E. 1.1</w:t>
      </w:r>
    </w:p>
    <w:p>
      <w:r>
        <w:t>L’extradition entre la Suisse et la Serbie est régie par la Convention européenne d’extradition du 13 décembre 1957 (CEExtr; RS 0.353.1), entrée en vigueur le 20 mars 1967 pour la Suisse et le 29 décembre 2002 pour la Serbie, par le Protocole additionnel à la CEExtr (PA I CEExtr; RS 0.353.11) conclu le 15 octobre 1975, entré en vigueur le 9 juin 1985 pour la Suisse et le 21 septembre 2003 pour la Serbie, par le deuxième Protocole additionnel à la CEExtr (PA II CEExtr; RS 0.353.12) conclu le 17 mars 1978, entré en vigueur le 9 juin 1985 pour la Suisse et le 21 septembre 2003 pour la Serbie, par le troisième Protocole additionnel à la CEExtr du 10 novembre 2010, entré en vigueur le 1er novembre 2016 pour la Suisse et le 1er mai 2012 pour la Serbie (PA III CEExtr; RS 0.353.13), ainsi que par le quatrième Protocole additionnel à la CEExtr du 20 septembre 2012 (PA IV CEExtr; RS 0.353.14), entré en vigueur le 1er novembre 2016 pour la Suisse et le 1er juin 2014 pour la Serbie. Pour le surplus, la loi fédérale sur l’entraide internationale en matière pénale (EIMP; RS 351.1)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invoque une violation de l’art. 51 al. 1 EIMP, au motif qu’il ne fait l’objet d’aucune condamnation, de sorte que l’extradition serait manifestement inadmissible (act. 1, p. 2-3).</w:t>
      </w:r>
    </w:p>
    <w:p>
      <w:r>
        <w:t>- 4 -</w:t>
      </w:r>
    </w:p>
    <w:p>
      <w:r>
        <w:rPr>
          <w:b/>
        </w:rPr>
        <w:t>E. 2.1.1</w:t>
      </w:r>
    </w:p>
    <w:p>
      <w:r>
        <w:t>Saisie d'un recours fondé sur l'art. 48 al. 2 EIMP, la Cour des plaintes n'a pas, à ce stade de la procédure, à se prononcer sur le bien-fondé de la demande d'extradition (ATF 136 IV 20 consid. 2.2; 130 II 306 consid. 2.3). Elle se borne à examiner la légalité de l'arrestation et si la détention aux fins d'extradition se justifie (ATF 111 IV 108 consid. 3). Les griefs relatifs au bien- 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136 IV 20 consid. 2.2; 130 II 306 consid. 2.2).</w:t>
      </w:r>
    </w:p>
    <w:p>
      <w:r>
        <w:rPr>
          <w:b/>
        </w:rPr>
        <w:t>E. 2.1.2</w:t>
      </w:r>
    </w:p>
    <w:p>
      <w:r>
        <w:t>En vertu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(art. 51 al. 1 EIMP; ATF 117 IV 359 consid. 2). Selon la jurisprudence, l'exception du caractère manifestement inadmissible de l'extradition ne trouve application que si l'une des hypothèses réservées aux art. 2 à 5 EIMP est sans aucun doute réalisée (arrêt du Tribunal pénal fédéral RR.2007.178 du 29 novembre 2007 consid. 4.6 et les références citées). Selon l'art. 50 al. 3 EIMP, la détention peut prendre fin à n'importe quel stade de la procédure et la demande de mise en liberté peut être présentée en tout temps. Cependant, l'élargissement conserve un caractère exceptionnel et doit être justifié par les circonstances (art. 50 al. 3 EIMP).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pénal fédéral RH.2017.5 du 28 juin 2017 et les références citées).</w:t>
      </w:r>
    </w:p>
    <w:p>
      <w:r>
        <w:rPr>
          <w:b/>
        </w:rPr>
        <w:t>E. 2.2</w:t>
      </w:r>
    </w:p>
    <w:p>
      <w:r>
        <w:t>A l’appui de sa réponse du 29 janvier 2020, l’OFJ a joint la demande d’extradition datée du 22 janvier 2020 du Ministère de la justice serbe, confirmant que le recourant devait purger une peine de prison en Serbie</w:t>
      </w:r>
    </w:p>
    <w:p>
      <w:r>
        <w:t>- 5 -</w:t>
      </w:r>
    </w:p>
    <w:p>
      <w:r>
        <w:t>(act. 3, p. 3 et 3.8). Le mandat d’arrêt en vue d’extradition est basé sur le jugement du 11 juin 2015 de la 1ère Cour de Bujanovac, condamnant A. à une peine de prison d’un an et deux mois pour brigandage. Ceci suffit à sceller le sort du grief soulevé par le recourant. En effet, dès lors que les autorités serbes ont confirmé que le recourant devait purger une peine de prison en Serbie et ont confirmé que l’extradition de l’intéressé était toujours requise, l’on ne saurait considérer que A. ne fait l’objet d’aucune condamnation et partant que l’extradition serait inadmissible. Tout comme l’on ne saurait affirmer que l’une des hypothèses réservées aux art. 2 à 5 EIMP est sans aucun doute réalisée. Ce d’autant plus que, conformément à la jurisprudence précitée (cf. supra, consid. 2.1), la Cour de céans ne se prononce pas, à ce stade, sur le bien-fondé de la demande d’extradition et s’oppose à la détention que si l’extradition est manifestement inadmissible au sens de l’art. 51 al. 1 EIMP, ce qui n’est pas le cas en l’espèce. Le grief de recourant doit dès lors être rejeté.</w:t>
      </w:r>
    </w:p>
    <w:p>
      <w:r>
        <w:rPr>
          <w:b/>
        </w:rPr>
        <w:t>E. 3</w:t>
      </w:r>
    </w:p>
    <w:p>
      <w:r>
        <w:t>Le recourant soutient en outre qu’il risquerait en Suisse une amende, et non une peine privative de liberté, de sorte que l’OFJ violerait les art. 2 ch. 1 CEExtr et 35 al. 1 EIMP en autorisant son extradition (act. 1, p. 3). Comme préalablement relevé (cf. supra, consid. 2), la Cour de céans ne se prononce à ce stade de la procédure pas sur le bien-fondé de la demande d’extradition, mais examine uniquement si la détention extraditionnelle est justifiée. Ainsi, les griefs relatifs au bien-fondé de la demande d’extradition – tels que l’absence de double incrimination comme invoqué en l’espèce – doivent être soulevés dans la procédure d’extradition proprement dite. Ces arguments ne constituent pas à ce stade un motif de libération au sens des art. 47 ss EIMP, et doivent partant être rejetés.</w:t>
      </w:r>
    </w:p>
    <w:p>
      <w:r>
        <w:rPr>
          <w:b/>
        </w:rPr>
        <w:t>E. 4</w:t>
      </w:r>
    </w:p>
    <w:p>
      <w:r>
        <w:t>Le recourant soulève enfin une violation de l’art. 46 al. 2 EIMP. Selon lui, en délivrant le mandat d’arrêt avant même que le délai de réflexion – délai de trois jours proposé au recourant pour accepter ou non la procédure d’extradition simplifiée – soit arrivé à son terme, l’OFJ violerait dit article (act. 1, p. 3-4).</w:t>
      </w:r>
    </w:p>
    <w:p>
      <w:r>
        <w:rPr>
          <w:b/>
        </w:rPr>
        <w:t>E. 4.1</w:t>
      </w:r>
    </w:p>
    <w:p>
      <w:r>
        <w:t>En vertu de l’art. 46 al. 2 EIMP, ces mesures (telles que l’arrestation notamment, cf. art. 44 EIMP) sont maintenues jusqu’à la décision relative à la détention en vue de l’extradition, mais au plus tard jusqu’au troisième jour ouvrable à compter de l’arrestation.</w:t>
      </w:r>
    </w:p>
    <w:p>
      <w:r>
        <w:rPr>
          <w:b/>
        </w:rPr>
        <w:t>E. 4.2</w:t>
      </w:r>
    </w:p>
    <w:p>
      <w:r>
        <w:t>Le recourant a été arrêté le 10 janvier 2020. Le même jour il a été auditionné par le MP-VD, qui lui a indiqué qu’il pouvait bénéficier d’un délai de réflexion maximal de trois jours ouvrables pour accepter une procédure simplifiée, soit</w:t>
      </w:r>
    </w:p>
    <w:p>
      <w:r>
        <w:t>- 6 -</w:t>
      </w:r>
    </w:p>
    <w:p>
      <w:r>
        <w:t>jusqu’au 15 janvier 2020. En délivrant le mandat d’arrêt en vue d’extradition le 14 janvier 2020, l’OFJ a respecté le délai prévu à l’art. 46 al. 2 EIMP, de sorte que ce grief doit également être rejeté.</w:t>
      </w:r>
    </w:p>
    <w:p>
      <w:r>
        <w:rPr>
          <w:b/>
        </w:rPr>
        <w:t>E. 5</w:t>
      </w:r>
    </w:p>
    <w:p>
      <w:r>
        <w:t>Au vu de ce qui précède, le recours s’avère mal fondé et doit être rejeté.</w:t>
      </w:r>
    </w:p>
    <w:p>
      <w:r>
        <w:rPr>
          <w:b/>
        </w:rPr>
        <w:t>E. 6</w:t>
      </w:r>
    </w:p>
    <w:p>
      <w:r>
        <w:t>Vu de l’issue de la présente procédure, l’octroi de l’effet suspensif est sans objet.</w:t>
      </w:r>
    </w:p>
    <w:p>
      <w:r>
        <w:rPr>
          <w:b/>
        </w:rPr>
        <w:t>E. 7</w:t>
      </w:r>
    </w:p>
    <w:p>
      <w:r>
        <w:t>Le recourant sollicite l’octroi de l’assistance judiciaire gratuite (act. 1, p. 4).</w:t>
      </w:r>
    </w:p>
    <w:p>
      <w:r>
        <w:rPr>
          <w:b/>
        </w:rPr>
        <w:t>E. 7.1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et RR.2007.31 du 21 mars 2007 consid. 3).</w:t>
      </w:r>
    </w:p>
    <w:p>
      <w:r>
        <w:rPr>
          <w:b/>
        </w:rPr>
        <w:t>E. 7.2</w:t>
      </w:r>
    </w:p>
    <w:p>
      <w:r>
        <w:t>Cette condition n’est en l’espèce pas réalisée. En effet, l’argumentation développée par le recourant n’était manifestement pas propre à remettre en question les dispositions légales claires et les principes jurisprudentiels bien établis en matière de détention extraditionnelle, ou à démontrer que le cas d’espèce présentait des particularités justifiant qu’on renonce exceptionnellement à les appliquer. La demande d’assistance judiciaire du recourant ne peut donc qu’être rejetée.</w:t>
      </w:r>
    </w:p>
    <w:p>
      <w:r>
        <w:rPr>
          <w:b/>
        </w:rPr>
        <w:t>E. 7.3</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cf. art. 63 al. 5 PA) est fixé à CHF 800.--, compte tenu de la situation financière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