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RH.2019.8 vom 9. Mai 2019</w:t>
      </w:r>
    </w:p>
    <w:p>
      <w:r>
        <w:t>Bundesstrafgericht, 2019-05-09, DE</w:t>
      </w:r>
    </w:p>
    <w:p>
      <w:r>
        <w:rPr>
          <w:b/>
        </w:rPr>
        <w:t xml:space="preserve">Quelle: </w:t>
      </w:r>
      <w:r>
        <w:t>https://mcp.opencaselaw.ch/entscheid/bstger_RH.2019.8</w:t>
      </w:r>
    </w:p>
    <w:p>
      <w:r>
        <w:t>FR: TPF RH.2019.8 du 9 mai 2019</w:t>
      </w:r>
    </w:p>
    <w:p>
      <w:r>
        <w:t>IT: TPF RH.2019.8 del 9 maggio 2019</w:t>
      </w:r>
    </w:p>
    <w:p>
      <w:pPr>
        <w:pStyle w:val="Heading2"/>
      </w:pPr>
      <w:r>
        <w:t>Regeste</w:t>
      </w:r>
    </w:p>
    <w:p>
      <w:r>
        <w:t>Auslieferung an Kosovo. Auslieferungshaftbefehl (Art. 48 Abs. 2 IRSG).</w:t>
      </w:r>
    </w:p>
    <w:p>
      <w:pPr>
        <w:pStyle w:val="Heading2"/>
      </w:pPr>
      <w:r>
        <w:t>Erwägungen</w:t>
      </w:r>
    </w:p>
    <w:p>
      <w:r>
        <w:rPr>
          <w:b/>
        </w:rPr>
        <w:t>E. 1.1</w:t>
      </w:r>
    </w:p>
    <w:p>
      <w:r>
        <w:t>Bis heute ist die Republik Kosovo weder Vertragsstaat des Europäischen Auslieferungsübereinkommens noch wurde mit der Schweiz ein bilateraler Staatsvertrag bezüglich Auslieferungsverfahren abgeschlossen. Mangels staatsvertraglicher Regelung gelangen daher vorliegend die Vorschriften des internen schweizerischen Rechts zur Anwendung, d.h. diejenigen des Bun- desgesetzes vom 20. März 1981 über internationale Rechtshilfe in Strafsa- chen (IRSG; SR 351.1) und die Verordnung vom 24. Februar 1982 über in- ternationale Rechtshilfe in Strafsachen (IRSV; SR 351.11; vgl. TPF 2008 61 E. 1.5).</w:t>
      </w:r>
    </w:p>
    <w:p>
      <w:r>
        <w:rPr>
          <w:b/>
        </w:rPr>
        <w:t>E. 2.1</w:t>
      </w:r>
    </w:p>
    <w:p>
      <w:r>
        <w:t>Gegen den Auslieferungshaftbefehl des BJ kann der Verfolgte innert zehn Tagen ab der schriftlichen Eröffnung Beschwerde bei der Beschwerdekam- mer des Bundesstrafgerichts führen. Für das Beschwerdeverfahren gelten die Art. 379–397 StPO sinngemäss (Art. 48 Abs. 2 i.V.m. Art. 47 IRSG). Im Übrigen gelten die allgemeinen Bestimmungen des IRSG und des Bundes- gesetzes vom 20. Dezember 1968 über das Verwaltungsverfahren (Verwal- tungsverfahrensgesetz, VwVG; SR 172.021; vgl. Art. 39 Abs. 2 lit. b i.V.m. Art. 37 Abs. 2 lit. a Ziff. 1 StBOG).</w:t>
      </w:r>
    </w:p>
    <w:p>
      <w:r>
        <w:rPr>
          <w:b/>
        </w:rPr>
        <w:t>E. 2.2</w:t>
      </w:r>
    </w:p>
    <w:p>
      <w:r>
        <w:t>Die Eintretensvoraussetzungen geben keinen Anlass zu Bemerkungen. Auf die Beschwerde ist einzutreten.</w:t>
      </w:r>
    </w:p>
    <w:p>
      <w:r>
        <w:rPr>
          <w:b/>
        </w:rPr>
        <w:t>E. 3</w:t>
      </w:r>
    </w:p>
    <w:p>
      <w:r>
        <w:t>Die Verhaftung des Verfolgten während des ganzen Auslieferungsverfah- rens bildet die Regel (BGE 136 IV 20 E. 2.2; 130 II 306 E. 2.2). Eine Aufhe- bung des Auslieferungshaftbefehls sowie eine Haftentlassung rechtfertigen sich nur ausnahmsweise und unter strengen Voraussetzungen, wenn der</w:t>
      </w:r>
    </w:p>
    <w:p>
      <w:r>
        <w:t>- 4 -</w:t>
      </w:r>
    </w:p>
    <w:p>
      <w:r>
        <w:t>Verfolgte sich voraussichtlich der Auslieferung nicht entzieht und die Straf- untersuchung nicht gefährdet (Art. 47 Abs. 1 lit. a IRSG), wenn er den soge- nannten Alibibeweis erbringen und ohne Verzug nachweisen kann, dass er zur Zeit der Tat nicht am Tatort war (Art. 47 Abs. 1 lit. b IRSG), wenn er nicht hafterstehungsfähig ist oder andere Gründe vorliegen, welche eine weniger einschneidende Massnahme rechtfertigen (Art. 47 Abs. 2 IRSG), oder wenn sich die Auslieferung als offensichtlich unzulässig erweist (Art. 51 Abs. 1 IRSG). Diese Aufzählung ist nicht abschliessend (BGE 130 II 306 E. 2.1; 117 IV 359 E. 2a; vgl. zum Ganzen zuletzt u.a. den Entscheid des Bundesstraf- gerichts RH.2019.4 vom 5. April 2019 E. 4).</w:t>
      </w:r>
    </w:p>
    <w:p>
      <w:r>
        <w:rPr>
          <w:b/>
        </w:rPr>
        <w:t>E. 4.1</w:t>
      </w:r>
    </w:p>
    <w:p>
      <w:r>
        <w:t>Der Beschwerdeführer bestreitet das Vorliegen von Fluchtgefahr. Jedenfalls seien zu seiner Sicherung mildere Ersatzmassnahmen ausreichend (act. 1, 4).</w:t>
      </w:r>
    </w:p>
    <w:p>
      <w:r>
        <w:rPr>
          <w:b/>
        </w:rPr>
        <w:t>E. 4.2</w:t>
      </w:r>
    </w:p>
    <w:p>
      <w:r>
        <w:t>Persönliche oder geschäftliche Beziehungen zur Schweiz macht der Be- schwerdeführer keine geltend. Vielmehr gibt er an, bei seiner Ehefrau, sei- nen Kindern und seinem Unternehmen in Deutschland sein zu wollen. Damit aber entzöge sich der Beschwerdeführer gerade der Auslieferung durch die Schweiz. Es ist ohne weiteres von hoher Fluchtgefahr auszugehen.</w:t>
      </w:r>
    </w:p>
    <w:p>
      <w:r>
        <w:rPr>
          <w:b/>
        </w:rPr>
        <w:t>E. 4.3</w:t>
      </w:r>
    </w:p>
    <w:p>
      <w:r>
        <w:t>Die vom Beschwerdeführer erwähnten Ersatzmassnahmen zu seiner Siche- rung fallen ausser Betracht. Nach konstanter Rechtsprechung werden Ab- gabe der Reisedokumente, Schriftensperre, Meldepflicht und Electronic Mo- nitoring nur in Kombination mit einer sehr substantiellen Sicherheitsleistung als überhaupt geeignet erachtet, Fluchtgefahr ausreichend zu bannen (Ent- scheide des Bundesstrafgerichts RH.2017.17 vom 2. Oktober 2017 E. 5.4.4; RH.2015.20 vom 1. September 2015 E. 5.3.2; RH.2015.10 vom 10. Juni 2015 E. 5.3; RH.2015.4 vom 23. Februar 2015 E. 5.2). Indes schlägt der Beschwerdeführer weder eine konkrete Sicherheitsleistung vor noch legt er seine finanziellen Verhältnisse offen, was erst eine Beurteilung ihrer Wirkung auf die Fluchtgefahr ermöglichen könnte.</w:t>
      </w:r>
    </w:p>
    <w:p>
      <w:r>
        <w:rPr>
          <w:b/>
        </w:rPr>
        <w:t>E. 5</w:t>
      </w:r>
    </w:p>
    <w:p>
      <w:r>
        <w:t>Andere Gründe, welche eine Auslieferung offensichtlich auszuschliessen oder sonst zu einer Aufhebung der Auslieferungshaft zu führen vermöchten, werden weder geltend gemacht noch sind solche ersichtlich.</w:t>
      </w:r>
    </w:p>
    <w:p>
      <w:r>
        <w:t>- 5 -</w:t>
      </w:r>
    </w:p>
    <w:p>
      <w:r>
        <w:rPr>
          <w:b/>
        </w:rPr>
        <w:t>E. 6</w:t>
      </w:r>
    </w:p>
    <w:p>
      <w:r>
        <w:t>Die Beschwerde erweist sich nach dem Gesagten als unbegründet, weshalb sie abzuweisen ist.</w:t>
      </w:r>
    </w:p>
    <w:p>
      <w:r>
        <w:rPr>
          <w:b/>
        </w:rPr>
        <w:t>E. 7</w:t>
      </w:r>
    </w:p>
    <w:p>
      <w:r>
        <w:t>Bei diesem Ausgang des Verfahrens sind die Gerichtskosten dem Be- schwerdeführer aufzuerlegen (vgl. Art. 63 Abs. 1 VwVG). Die Gerichtsgebühr ist auf Fr. 2'000.– festzusetzen (vgl. Art. 63 Abs. 5 VwVG und Art. 73 StBOG sowie Art. 5 und 8 Abs. 3 lit. a des Reglements des Bundesstrafgerichts vom 31. August 2010 über die Kosten, Gebühren und Entschädigungen in Bun- desstrafverfahren [BStKR; SR 173.713.162]).</w:t>
      </w:r>
    </w:p>
    <w:p>
      <w:r>
        <w:t>- 6 -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