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RH.2019.5 vom 16. April 2019</w:t>
      </w:r>
    </w:p>
    <w:p>
      <w:r>
        <w:t>Bundesstrafgericht, 2019-04-16, DE</w:t>
      </w:r>
    </w:p>
    <w:p>
      <w:r>
        <w:rPr>
          <w:b/>
        </w:rPr>
        <w:t xml:space="preserve">Quelle: </w:t>
      </w:r>
      <w:r>
        <w:t>https://mcp.opencaselaw.ch/entscheid/bstger_RH.2019.5</w:t>
      </w:r>
    </w:p>
    <w:p>
      <w:r>
        <w:t>FR: TPF RH.2019.5 du 16 avril 2019</w:t>
      </w:r>
    </w:p>
    <w:p>
      <w:r>
        <w:t>IT: TPF RH.2019.5 del 16 aprile 2019</w:t>
      </w:r>
    </w:p>
    <w:p>
      <w:pPr>
        <w:pStyle w:val="Heading2"/>
      </w:pPr>
      <w:r>
        <w:t>Regeste</w:t>
      </w:r>
    </w:p>
    <w:p>
      <w:r>
        <w:t>Auslieferung an Serbien. Auslieferungshaftbefehl (Art. 48 Abs. 2 IRSG). Unentgeltliche Rechtspflege (Art. 65 VwVG).</w:t>
      </w:r>
    </w:p>
    <w:p>
      <w:pPr>
        <w:pStyle w:val="Heading2"/>
      </w:pPr>
      <w:r>
        <w:t>Erwägungen</w:t>
      </w:r>
    </w:p>
    <w:p>
      <w:r>
        <w:rPr>
          <w:b/>
        </w:rPr>
        <w:t>E. 1.1</w:t>
      </w:r>
    </w:p>
    <w:p>
      <w:r>
        <w:t>Für den Auslieferungsverkehr zwischen der Schweiz und Serbien sind pri- mär das Europäische Auslieferungsübereinkommen vom 13. Dezember 1957 (EAUe; SR 0.353.1) sowie das zu diesem Übereinkommen am 15. Ok- tober 1975 ergangene erste Zusatzprotokoll (ZPI EAUe; SR 0.353.11), das am 17. März 1978 ergangene zweite Zusatzprotokoll (ZPII EAUe; SR 0.353.12), das am 10. November 2010 ergangene dritte Zusatzprotokoll</w:t>
      </w:r>
    </w:p>
    <w:p>
      <w:r>
        <w:t>- 3 -</w:t>
      </w:r>
    </w:p>
    <w:p>
      <w:r>
        <w:t>(ZPIII EAUe; SR 0.353.13) sowie das am 20. September 2012 ergangene vierte Zusatzprotokoll (ZPIV EAUe; SR. 0353.14) massgebend.</w:t>
      </w:r>
    </w:p>
    <w:p>
      <w:r>
        <w:rPr>
          <w:b/>
        </w:rPr>
        <w:t>E. 1.2</w:t>
      </w:r>
    </w:p>
    <w:p>
      <w:r>
        <w:t>Soweit das Übereinkommen und die Zusatzprotokolle bestimmte Fragen nicht abschliessend regeln, findet auf das Verfahren der Auslieferung aus- schliesslich das Recht des ersuchten Staates Anwendung (Art. 22 EAUe), vorliegend also das Bundesgesetz vom 20. März 1981 (Rechtshilfegesetz, IRSG; SR 351.1) und die Verordnung vom 24. Februar 1982 über internati- onale Rechtshilfe in Strafsachen (Rechtshilfeverordnung, IRSV; SR 351.11). Das innerstaatliche Recht gelangt nach dem Günstigkeitsprinzip auch dann zur Anwendung, wenn dieses geringere Anforderungen an die Rechtshilfe stellt (BGE 142 IV 250 E. 3; 140 IV 123 E. 2 S. 126; 137 IV 33 E. 2.2.2 S. 40 f.; jeweils m.w.H.). Vorbehalten bleibt die Wahrung der Menschen- rechte (BGE 135 IV 212 E. 2.3; 123 II 595 E. 7c S. 617; TPF 2008 24 E. 1.1 S. 26).</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StBOG).</w:t>
      </w:r>
    </w:p>
    <w:p>
      <w:r>
        <w:rPr>
          <w:b/>
        </w:rPr>
        <w:t>E. 2.1</w:t>
      </w:r>
    </w:p>
    <w:p>
      <w:r>
        <w:t>Gegen den Auslieferungshaftbefehl des BJ kann der Verfolgte innert zehn Tagen ab der schriftlichen Eröffnung bei der Beschwerdekammer des Bun- desstrafgerichts Beschwerde erheben (Art. 48 Abs. 2 IRSG).</w:t>
      </w:r>
    </w:p>
    <w:p>
      <w:r>
        <w:rPr>
          <w:b/>
        </w:rPr>
        <w:t>E. 2.2</w:t>
      </w:r>
    </w:p>
    <w:p>
      <w:r>
        <w:t>Der angefochtene Auslieferungshaftbefehl vom 15. Februar 2019 wurde dem Beschwerdeführer erst am 21. März 2019 schriftlich eröffnet (act. 3.5). Seine am 28. März 2019 erhobene Beschwerde erweist sich somit als fristgerecht. Die übrigen Eintretensvoraussetzungen geben keinen Anlass zu weiteren Bemerkungen. Auf die Beschwerde ist somit einzutreten.</w:t>
      </w:r>
    </w:p>
    <w:p>
      <w:r>
        <w:rPr>
          <w:b/>
        </w:rPr>
        <w:t>E. 3.1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w:t>
      </w:r>
    </w:p>
    <w:p>
      <w:r>
        <w:t>- 4 -</w:t>
      </w:r>
    </w:p>
    <w:p>
      <w:r>
        <w:t>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u.a. den Entscheid des Bundesstrafgerichts RH.2019.2 vom 11. Februar 2019 E. 3.1).</w:t>
      </w:r>
    </w:p>
    <w:p>
      <w:r>
        <w:rPr>
          <w:b/>
        </w:rPr>
        <w:t>E. 3.2</w:t>
      </w:r>
    </w:p>
    <w:p>
      <w:r>
        <w:t>Der Beschwerdeführer bestreitet das Vorliegen der Fluchtgefahr mit der Be- gründung, er wohne seit 2017 zusammen mit seiner Ehefrau und seiner elf- jährigen Tochter in Deutschland und gehe dort einer Erwerbstätigkeit nach. Serbien hätte es jederzeit in der Hand gehabt, bei den deutschen Behörden ein Auslieferungsgesuch zu stellen. Es habe eine Klärung zwischen dem Heimatstaat [Serbien] und dem aktuellen Wohnsitz [Deutschland] zu erfol- gen. Nehme das Verfahren derart in Deutschland seinen Lauf, gebe es kei- nen Grund, ihn während des laufenden Auslieferungsgesuches in Haft zu nehmen. Eine Fluchtgefahr sei vor dem Hintergrund des festen Wohnsitzes und der stabilen Erwerbsverhältnisse in Deutschland ausgeschlossen (act. 1, S. 2 f.; act. 4).</w:t>
      </w:r>
    </w:p>
    <w:p>
      <w:r>
        <w:rPr>
          <w:b/>
        </w:rPr>
        <w:t>E. 3.3</w:t>
      </w:r>
    </w:p>
    <w:p>
      <w:r>
        <w:t>Zur bestrittenen Fluchtgefahr ist der Beschwerdeführer darauf hinzuweisen, dass die Rechtsprechung des Bundesgerichts hinsichtlich der Verneinung von Fluchtgefahr überaus restriktiv ist und der Erfüllung der staatsvertragli- chen Auslieferungspflichten im Vergleich zu den Interessen des Verfolgten ausserordentlich grosses Gewicht beimisst. Das Bundesgericht bejaht die Fluchtgefahr bei drohenden, hohen Freiheitsstrafen in der Regel sogar dann, wenn der Betroffene über eine Niederlassungsbewilligung und familiäre Bin- dungen in der Schweiz verfügt (BGE 136 IV 20 E. 2.3; Urteil des Bundesge- richts 8G.45/2001 vom 15. August 2001 E. 3a). Der Beschwerdeführer ist in der Schweiz nicht wohnhaft. Entsprechend ist eine Bindung zur Schweiz nicht zu erkennen und die Fluchtgefahr ist zu bejahen. Angesichts des Vor- bringens des Beschwerdeführers, seine Familie lebe in Deutschland und er wolle, dass die serbischen Behörden ein Auslieferungsersuchen an Deutsch- land stellen, ist die Gefahr, dass der Beschwerdeführer nach Deutschland oder an einen anderen Ort flüchten oder untertauchen könnte, als hoch zu werten. An dieser Schlussfolgerung vermag der Verweis auf allfällige in Deutschland geltende Praxis zur Auslieferungshaft nichts zu ändern. Die deutsche Auslieferungspraxis und ein dort ergangenes Urteil, welches im Übrigen nicht den Beschwerdeführer betrifft, ist für den Schweizer Rechts- hilferichter nicht bindend. Die Fluchtgefahr ist nach dem Gesagten als hoch zu qualifizieren.</w:t>
      </w:r>
    </w:p>
    <w:p>
      <w:r>
        <w:t>- 5 -</w:t>
      </w:r>
    </w:p>
    <w:p>
      <w:r>
        <w:rPr>
          <w:b/>
        </w:rPr>
        <w:t>E. 3.4</w:t>
      </w:r>
    </w:p>
    <w:p>
      <w:r>
        <w:t>Stichhaltige Gründe, weshalb sich die angeordnete Auslieferungshaft als un- zulässig oder als unverhältnismässig erweisen würde, werden weder vom Beschwerdeführer geltend gemacht noch sind solche den Akten zu entneh- men. Insbesondere sind Ersatzmassnahmen, welche geeignet wären, die hohe Fluchtgefahr zu beseitigen, nicht ersichtlich und werden vom Be- schwerdeführer auch nicht angeboten. Zudem sind zum gegenwärtigen Zeit- punkt keine Anhaltspunkte ersichtlich, die darauf deuten würden, dass eine Auslieferung des Beschwerdeführers an Serbien offensichtlich unzulässig im Sinne von Art. 51 Abs. 1 IRSG wäre.</w:t>
      </w:r>
    </w:p>
    <w:p>
      <w:r>
        <w:rPr>
          <w:b/>
        </w:rPr>
        <w:t>E. 4</w:t>
      </w:r>
    </w:p>
    <w:p>
      <w:r>
        <w:t>Die Beschwerde erweist sich nach dem Gesagten als unbegründet, weshalb sie abzuweisen ist.</w:t>
      </w:r>
    </w:p>
    <w:p>
      <w:r>
        <w:rPr>
          <w:b/>
        </w:rPr>
        <w:t>E. 5.1</w:t>
      </w:r>
    </w:p>
    <w:p>
      <w:r>
        <w:t>Bei diesem Ausgang des Verfahrens hätte der Beschwerdeführer die Ge- richtskosten zu tragen. In seiner Beschwerde ersuchte er um unentgeltliche Rechtspflege und Verbeiständung (RP.2019.16, act. 1).</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140 V 521 E. 9.1).</w:t>
      </w:r>
    </w:p>
    <w:p>
      <w:r>
        <w:rPr>
          <w:b/>
        </w:rPr>
        <w:t>E. 5.3</w:t>
      </w:r>
    </w:p>
    <w:p>
      <w:r>
        <w:t>Aufgrund des oben Ausgeführten erwies sich die Beschwerde offensichtlich als aussichtslos im Sinne von Art. 65 Abs. 1 VwVG. Demzufolge ist das Ge- such RP.2019.16 um unentgeltliche Rechtspflege und Verbeiständung be- reits aus diesem Grund abzuweisen.</w:t>
      </w:r>
    </w:p>
    <w:p>
      <w:r>
        <w:rPr>
          <w:b/>
        </w:rPr>
        <w:t>E. 5.4</w:t>
      </w:r>
    </w:p>
    <w:p>
      <w:r>
        <w:t>Bei diesem Ausgang des Verfahrens sind die Gerichtskosten dem Be- schwerdeführer aufzuerlegen (Art. 63 Abs. 1 VwVG). Die Gerichtsgebühr ist auf Fr. 1‘000.-- festzusetzen (Art. 63 Abs. 5 VwVG und Art. 73 StBOG sowie Art. 5 und 8 Abs. 3 lit. a des Reglements des Bundesstrafgerichts vom</w:t>
      </w:r>
    </w:p>
    <w:p>
      <w:r>
        <w:t>- 6 -</w:t>
      </w:r>
    </w:p>
    <w:p>
      <w:r>
        <w:t>31. August 2010 über die Kosten, Gebühren und Entschädigungen in Bun- 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