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RH.2019.4 vom 5. April 2019</w:t>
      </w:r>
    </w:p>
    <w:p>
      <w:r>
        <w:t>Bundesstrafgericht, 2019-04-05, DE</w:t>
      </w:r>
    </w:p>
    <w:p>
      <w:r>
        <w:rPr>
          <w:b/>
        </w:rPr>
        <w:t xml:space="preserve">Quelle: </w:t>
      </w:r>
      <w:r>
        <w:t>https://mcp.opencaselaw.ch/entscheid/bstger_RH.2019.4</w:t>
      </w:r>
    </w:p>
    <w:p>
      <w:r>
        <w:t>FR: TPF RH.2019.4 du 5 avril 2019</w:t>
      </w:r>
    </w:p>
    <w:p>
      <w:r>
        <w:t>IT: TPF RH.2019.4 del 5 aprile 2019</w:t>
      </w:r>
    </w:p>
    <w:p>
      <w:pPr>
        <w:pStyle w:val="Heading2"/>
      </w:pPr>
      <w:r>
        <w:t>Regeste</w:t>
      </w:r>
    </w:p>
    <w:p>
      <w:r>
        <w:t>Auslieferung an Portugal. Auslieferungshaftbefehl (Art. 48 Abs. 2 IRSG).</w:t>
      </w:r>
    </w:p>
    <w:p>
      <w:pPr>
        <w:pStyle w:val="Heading2"/>
      </w:pPr>
      <w:r>
        <w:t>Erwägungen</w:t>
      </w:r>
    </w:p>
    <w:p>
      <w:r>
        <w:rPr>
          <w:b/>
        </w:rPr>
        <w:t>E. 1.1</w:t>
      </w:r>
    </w:p>
    <w:p>
      <w:r>
        <w:t>Für den Auslieferungsverkehr zwischen der Schweiz und Portugal sind pri- mär das Europäische Auslieferungsübereinkommen vom 13. Dezember 1957 (EAUe; SR 0.353.1) sowie das zu diesem Übereinkommen am 15. Ok- tober 1975 ergangene erste Zusatzprotokoll (1. ZP; SR 0.353.11) und das am 17. März 1978 ergangene zweite Zusatzprotokoll (2. ZP; SR 0.353.12) sowie das Schengener Durchführungsübereinkommen vom 14. Juni 1985 (SDÜ; ABl. L 239 vom 22. September 2000, S. 19-62) i.V.m. dem Beschluss des Rates über die Einrichtung, den Betrieb und die Nutzung des SIS der zweiten Generation (SIS II), namentlich Art. 26-31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w:t>
      </w:r>
    </w:p>
    <w:p>
      <w:r>
        <w:t>Für das Beschwerdeverfahren gelten zudem die Art. 379-397 StPO sinnge- mäss (Art. 48 Abs. 2 i.V.m. Art. 47 IRSG) und sowie die Bestimmungen des VwVG (vgl. Art. 39 Abs. 2 lit. b i.V.m. Art. 37 Abs. 2 lit. a Ziff. 1 StBOG).</w:t>
      </w:r>
    </w:p>
    <w:p>
      <w:r>
        <w:rPr>
          <w:b/>
        </w:rPr>
        <w:t>E. 2</w:t>
      </w:r>
    </w:p>
    <w:p>
      <w:r>
        <w:t>Gegen den Auslieferungshaftbefehl des BJ kann der Verfolgte innert zehn Tagen ab der schriftlichen Eröffnung Beschwerde bei der Beschwerdekam- mer des Bundesstrafgerichts führen (Art. 48 Abs. 2 IRSG). Der Ausliefe- rungshaftbefehl ist dem Beschwerdeführer am 11. März 2019 ausgehändigt worden (act. 3.4 S. 1). Die am 21. März 2019 erhobene Beschwerde erweist sich als form- und fristgerecht. Die übrigen Eintretensvoraussetzungen ge- ben keinen Anlass zu Bemerkungen. Auf die Beschwerde ist einzutreten.</w:t>
      </w:r>
    </w:p>
    <w:p>
      <w:r>
        <w:t>- 4 -</w:t>
      </w:r>
    </w:p>
    <w:p>
      <w:r>
        <w:rPr>
          <w:b/>
        </w:rPr>
        <w:t>E. 3</w:t>
      </w:r>
    </w:p>
    <w:p>
      <w:r>
        <w:t>Die Beschwerdekammer ist nicht an die Begehren der Parteien gebunden (Art. 25 Abs. 6 IRSG). Sie prüft die Auslieferungshaftvoraussetzungen grund- sätzlich mit freier Kognition. Die Beschwerdekammer befasst sich jedoch nur mit Tat- und Rechtsfragen, die Streitgegenstand der Beschwerde bilden (Entscheide des Bundesstrafgerichts RR.2009.2 vom 9. Juli 2009 E. 2.4; RR.2007.34 vom 29. März 2007 E. 3, je m.w.H.).</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122 IV 8 E. 2c; Urteil des Bundesgerichts 1A.59/2004 vom 16. Juli 2004 E. 5.2, m.w.H.).</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- 5 -</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5.1</w:t>
      </w:r>
    </w:p>
    <w:p>
      <w:r>
        <w:t>Der Beschwerdeführer bestreitet das Vorliegen von Fluchtgefahr. Er halte sich seit dem Jahr 2015 in der Schweiz auf, sei mit einer Schweizerin ver- heiratet, habe einen dreijährigen Sohn, und seine Frau sei erneut schwan- ger. Er beherrsche zudem die deutsche Sprache fliessend, sei in der Schweiz sehr gut integriert und vernetzt, habe eine feste Anstellung und sei in der Schweiz nie straffällig geworden (act. 1 S. 3).</w:t>
      </w:r>
    </w:p>
    <w:p>
      <w:r>
        <w:rPr>
          <w:b/>
        </w:rPr>
        <w:t>E. 5.2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Im Lichte dieser restriktiven Praxis ist vorliegend ohne Weiteres von Fluchtgefahr auszugehen. Der Beschwer- deführer hält sich erst seit 2015 in der Schweiz auf, weshalb noch nicht von einer besonders engen Bindung zur Schweiz auszugehen ist. Daran vermag auch der Umstand, dass er in der Schweiz eine Festanstellung hat und hier zusammen mit seiner Frau und seinem Sohn lebt, nichts zu ändern. In Por- tugal droht ihm sodann eine dreijährige Freiheitsstrafe. Die sich aus den ge- nannten Umständen ergebende Fluchtgefahr kann durch Ersatzmassnah- men nicht gebannt werden. Schliesslich vermag auch die Tatsache, dass der Beschwerdeführer bei den portugiesischen Behörden ein Gesuch um stell- vertretende Strafvollstreckung in der Schweiz gestellt hat, die Fluchtgefahr nicht zu bannen, zumal von Seiten Portugals eine Antwort noch ausstehend ist.</w:t>
      </w:r>
    </w:p>
    <w:p>
      <w:r>
        <w:t>Die Beschwerde erweist sich damit als unbegründet.</w:t>
      </w:r>
    </w:p>
    <w:p>
      <w:r>
        <w:t>- 6 -</w:t>
      </w:r>
    </w:p>
    <w:p>
      <w:r>
        <w:rPr>
          <w:b/>
        </w:rPr>
        <w:t>E. 6</w:t>
      </w:r>
    </w:p>
    <w:p>
      <w:r>
        <w:t>Andere Gründe, welche eine Auslieferung offensichtlich auszuschliessen oder sonst zu einer Aufhebung der Auslieferungshaft zu führen vermöchten, werden weder geltend gemacht noch sind solche ersichtlich.</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Schon aus diesem Grund ist das Gesuch um unentgeltliche Rechtspflege abzuweisen. Bei der Festsetzung der Gerichts- gebühr kann gemäss Art. 63 Abs. 4bis VwVG der womöglich schwierigen fi- nanziellen Situation des Beschwerdeführers Rechnung getragen werden.</w:t>
      </w:r>
    </w:p>
    <w:p>
      <w:r>
        <w:rPr>
          <w:b/>
        </w:rPr>
        <w:t>E. 8</w:t>
      </w:r>
    </w:p>
    <w:p>
      <w:r>
        <w:t>Bei diesem Ausgang des Verfahrens sind die Gerichtskosten dem Beschwer- deführer aufzuerlegen (Art. 63 Abs. 1 VwVG). Angesichts der finanziellen Situation des Beschwerdeführers ist die reduzierte Gerichtsgebühr auf Fr. 1'000.-- festzusetzen (Art. 63 Abs. 5 VwVG i.V.m. Art. 73 StBOG sowie Art. 5 und 8 Abs. 3 lit. a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