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RH.2019.27 vom 9. Januar 2020</w:t>
      </w:r>
    </w:p>
    <w:p>
      <w:r>
        <w:t>Bundesstrafgericht, 2020-01-09, DE</w:t>
      </w:r>
    </w:p>
    <w:p>
      <w:r>
        <w:rPr>
          <w:b/>
        </w:rPr>
        <w:t xml:space="preserve">Quelle: </w:t>
      </w:r>
      <w:r>
        <w:t>https://mcp.opencaselaw.ch/entscheid/bstger_RH.2019.27</w:t>
      </w:r>
    </w:p>
    <w:p>
      <w:r>
        <w:t>FR: TPF RH.2019.27 du 9 janvier 2020</w:t>
      </w:r>
    </w:p>
    <w:p>
      <w:r>
        <w:t>IT: TPF RH.2019.27 del 9 gennaio 2020</w:t>
      </w:r>
    </w:p>
    <w:p>
      <w:pPr>
        <w:pStyle w:val="Heading2"/>
      </w:pPr>
      <w:r>
        <w:t>Regeste</w:t>
      </w:r>
    </w:p>
    <w:p>
      <w:r>
        <w:t>Auslieferung an Polen. Auslieferungshaftbefehl (Art. 48 Abs. 2 IRSG).</w:t>
      </w:r>
    </w:p>
    <w:p>
      <w:pPr>
        <w:pStyle w:val="Heading2"/>
      </w:pPr>
      <w:r>
        <w:t>Erwägungen</w:t>
      </w:r>
    </w:p>
    <w:p>
      <w:r>
        <w:rPr>
          <w:b/>
        </w:rPr>
        <w:t>E. 1.1</w:t>
      </w:r>
    </w:p>
    <w:p>
      <w:r>
        <w:t>Für den Auslieferungsverkehr zwischen der Schweiz und Polen sind primär das Europäische Auslieferungsübereinkommen vom 13. Dezember 1957 (EAUe; SR 0.353.1), die hierzu ergangenen Zusatzprotokolle vom 15. Okto- ber 1975 (ZP I EAUe; SR 0.353.11) und vom 17. März 1978 (ZP II EAUe; SR 0.353.12) sowie das Schengener Durchführungsübereinkommen vom 14. Juni 1985 (SDÜ; ABl.L 239 vom 22. September 2000, S.19-62) i.V.m dem Beschluss des Rates vom 12. Juni 2007 über die Einrichtung, den Be- trieb und die Nutzung des SIS der zweiten Generation (SIS II), namentlich Art. 26-31 (ABl.L vom 7. August 2007, S. 63-84) massgebend, wobei die zwi- schen den Vertragsparteien geltenden weitergehenden Bestimmungen auf- grund bilateraler Abkommen unberührt bleiben (Art. 59 Abs. 2 SDÜ; ZIMMER- MANN, La coopération judiciaire internationale en matière pénale, 5. Aufl. 2019, N. 22 f., 28–52, 193 ff.).</w:t>
      </w:r>
    </w:p>
    <w:p>
      <w:r>
        <w:rPr>
          <w:b/>
        </w:rPr>
        <w:t>E. 1.2</w:t>
      </w:r>
    </w:p>
    <w:p>
      <w:r>
        <w:t>Soweit die Staatsverträge und Zusatzprotokolle bestimme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nach dem Günstigkeitsprinzip auch dann zur An- wendung gelangt, wenn dieses geringere Anforderungen an die Rechtshilfe stellt (BGE 142 IV 250 E. 3; 140 IV 123 E. 2; 137 IV 33 E. 2.2.2; 136 IV 82 E. 3.1). Vorbehalten bleibt die Wahrung der Menschenrechte (BGE 135 IV 212 E. 2.3; 123 II 595 E. 7c; TPF 2016 65 E. 1.2; 2008 24 E. 1.1; ZIMMER- MANN, a.a.O., N. 170 ff., 211 ff., 240 ff.).</w:t>
      </w:r>
    </w:p>
    <w:p>
      <w:r>
        <w:t>Für das Beschwerdeverfahren gelten zudem die Art. 379-397 StPO sinnge- mäss (Art. 48 Abs. 1 i.V.m. Art. 47 IRSG) sowie die Bestimmungen des VwVG (vgl. Art. 39 Abs. 2 lit. b i.V.m. Art. 37 Abs. 2 lit. a Ziff. 1 StBOG; ZIM- MERMANN, a.a.O., N. 273).</w:t>
      </w:r>
    </w:p>
    <w:p>
      <w:r>
        <w:rPr>
          <w:b/>
        </w:rPr>
        <w:t>E. 2</w:t>
      </w:r>
    </w:p>
    <w:p>
      <w:r>
        <w:t>Gegen den Auslieferungshaftbefehl des BJ kann der Verfolgte innert zehn Tagen ab der schriftlichen Eröffnung Beschwerde bei der Beschwerdekam- mer des Bundesstrafgerichts führen (Art. 48 Abs. 2 IRSG; ZIMMERMANN, a.a.O., N. 498, 536). Der Auslieferungshaftbefehl ist dem Beschwerdeführer am 4. Dezember 2019 ausgehändigt worden. Die am 13. Dezember 2019</w:t>
      </w:r>
    </w:p>
    <w:p>
      <w:r>
        <w:t>- 4 -</w:t>
      </w:r>
    </w:p>
    <w:p>
      <w:r>
        <w:t>erhobene Beschwerde erweist sich als fristgerecht. Die übrigen Eintretens- voraussetzungen geben keinen Anlass zu Bemerkungen. Auf die Be- schwerde ist einzutreten.</w:t>
      </w:r>
    </w:p>
    <w:p>
      <w:r>
        <w:rPr>
          <w:b/>
        </w:rPr>
        <w:t>E. 3</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 strafgerichts RH.2018.3 vom 20. Februar 2018 E. 3.2).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 judiciaire du Tribunal pénal fédéral, in Journal des Tribunaux 2009 IV 111 Nr. 190 und 2008 IV 66 Nr. 322 je m.w.H. auf die Rechtsprechung).</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und 2.3; 111 IV 108 E. 2; Entscheid des Bundesstrafgerichts RH.2015.14 vom 9. Juli 2015 E. 4.1).</w:t>
      </w:r>
    </w:p>
    <w:p>
      <w:r>
        <w:rPr>
          <w:b/>
        </w:rPr>
        <w:t>E. 4.1</w:t>
      </w:r>
    </w:p>
    <w:p>
      <w:r>
        <w:t>Der Beschwerdeführer macht geltend, es bestehe weder Flucht- noch Kollu- sionsgefahr. Er lebe seit sieben Jahren legal und offiziell in der Schweiz und gehe einer geregelten Arbeit nach. Er habe nie versucht, sich den polnischen</w:t>
      </w:r>
    </w:p>
    <w:p>
      <w:r>
        <w:t>- 5 -</w:t>
      </w:r>
    </w:p>
    <w:p>
      <w:r>
        <w:t>Behörden zu entziehen. Im Gegenteil: während der Strafuntersuchungen in den Jahren 2009 bis 2013 sei er den deutschen Strafverfolgungsbehörden stets uneingeschränkt zur Verfügung gestanden. Dies zeige seine Bereit- schaft, mit den Strafverfolgungsbehörden zusammen zu arbeiten. Zudem lä- gen die Taten zum Teil mehr als sechs Jahre zurück, weshalb es ihm gar nicht möglich sei, auf die Strafuntersuchung einzuwirken. Zudem seien die Beweise in dieser Zeit längst gesichert (act. 1 S. 4).</w:t>
      </w:r>
    </w:p>
    <w:p>
      <w:r>
        <w:rPr>
          <w:b/>
        </w:rPr>
        <w:t>E. 4.2</w:t>
      </w:r>
    </w:p>
    <w:p>
      <w:r>
        <w:t>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 Be- troffene über eine Niederlassungsbewilligung und familiäre Bindungen in der Schweiz verfügt (BGE 136 IV 20 E. 2.3; Urteil des Bundesgerichts 8G.45/2001 vom 15. August 2001 E. 3a). Zunächst ist festzuhalten, dass der Tatvorwurf gegenüber dem Beschwerdeführer schwer wiegt. Ihm droht in Polen eine Höchstfreiheitsstrafe von zehn Jahren (Verfahrensakten Urk. 1D). Der Beschwerdeführer muss somit im Falle einer Auslieferung mit einer lan- gen Freiheitsstrafe rechnen, weshalb gestützt auf die angeführte Rechtspre- chung von einer hohen Fluchtgefahr auszugehen ist. Der Beschwerdeführer lebt zwar seit sieben Jahren in der Schweiz, womit eine gewisse Verbunden- heit mit diesem Land vorhanden ist. Allerdings ist diese Verbindung nicht dergestalt, dass deshalb die Fluchtgefahr gebannt wäre. Die Tatsache, dass der Beschwerdeführer einer Arbeit nachgeht, genügt nicht. Diesbezüglich ist die Beschwerde zudem sehr vage. Dass der Beschwerdeführer von 2009 bis 2013 mit den deutschen Strafverfolgungsbehörden kooperiert haben soll, ist ferner für das vorliegende Verfahren, bei dem es um die Auslieferung nach Polen geht, nicht von Belang. Der Fluchtgefahr kann auch nicht mit den vom Beschwerdeführer erwähnten Ersatzmassnahmen (Schriftensperre sowie Meldepflicht) ausreichend begegnet werden. Nach konstanter Rechtspre- chung werden Abgabe der Reisedokumente, Schriftensperre, Meldepflicht und Electronic Monitoring nur in Kombination mit einer sehr substantiellen Sicherheitsleistung als überhaupt geeignet erachtet, Fluchtgefahr ausrei- chend zu bannen (Entscheide des Bundesstrafgerichts RH.2017.17 vom 2. Oktober 2017 E. 5.4.4; RH.2015.20 vom 1. September 2015 E. 5.3.2; RH.2015.10 vom 10. Juni 2015 E. 5.3; RH.2015.4 vom 23. Februar 2015 E. 5.2). Der Beschwerdeführer äussert sich nicht zur Höhe einer allfälligen Sicherheitsleistung, er macht gegenteils geltend, gegenwärtig nicht in der Lage zu sein, für die Anwalts- und Verfahrenskosten aufkommen zu können. Eine Ersatzmassnahme, welche die Fluchtgefahr zu reduzieren vermöchte,</w:t>
      </w:r>
    </w:p>
    <w:p>
      <w:r>
        <w:t>- 6 -</w:t>
      </w:r>
    </w:p>
    <w:p>
      <w:r>
        <w:t>ist damit nicht erkennbar. Bei diesem eindeutigen Prüfungsergebnis bezüg- lich der Fluchtgefahr sind die Einwendungen betreffend die Kollusionsgefahr nicht weiter zu untersuchen.</w:t>
      </w:r>
    </w:p>
    <w:p>
      <w:r>
        <w:rPr>
          <w:b/>
        </w:rPr>
        <w:t>E. 5</w:t>
      </w:r>
    </w:p>
    <w:p>
      <w:r>
        <w:t>Soweit der Beschwerdeführer schliesslich geltend macht, die gegen ihn er- hobenen Vorwürfe seien bereits in Deutschland beurteilt worden, wobei das Verfahren ohne Schuldsprüche abgeschlossen worden sei, und gestützt auf das Territorialitätsprinzip sei ohnehin nicht Polen, sondern Deutschland für die Strafuntersuchung zuständig, ist festzuhalten, dass es sich hierbei um Einwendungen gegen die Auslieferung an sich handelt, die im Verfahren be- treffend Auslieferungshaft nicht zu hören sind.</w:t>
      </w:r>
    </w:p>
    <w:p>
      <w:r>
        <w:rPr>
          <w:b/>
        </w:rPr>
        <w:t>E. 6</w:t>
      </w:r>
    </w:p>
    <w:p>
      <w:r>
        <w:t>Andere Gründe, welche eine Auslieferung offensichtlich auszuschliessen oder sonst zu einer Aufhebung der Auslieferungshaft zu führen vermöchten, werden weder geltend gemacht noch sind solche ersichtlich.</w:t>
      </w:r>
    </w:p>
    <w:p>
      <w:r>
        <w:t>Die Beschwerde ist damit als vollumfänglich unbegründet abzuweisen.</w:t>
      </w:r>
    </w:p>
    <w:p>
      <w:r>
        <w:rPr>
          <w:b/>
        </w:rPr>
        <w:t>E. 7.1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7.2</w:t>
      </w:r>
    </w:p>
    <w:p>
      <w:r>
        <w:t>Nach dem oben Ausgeführten muss die vorliegende Beschwerde als aus- sichtslos bezeichnet werden. Schon aus diesem Grund ist das Gesuch um unentgeltliche Rechtspflege abzuweisen. Bei der Festsetzung der Gerichts- gebühr kann gemäss Art. 63 Abs. 4bis VwVG der womöglich schwierigen fi- nanziellen Situation des Beschwerdeführers Rechnung getragen werden.</w:t>
      </w:r>
    </w:p>
    <w:p>
      <w:r>
        <w:t>- 7 -</w:t>
      </w:r>
    </w:p>
    <w:p>
      <w:r>
        <w:rPr>
          <w:b/>
        </w:rPr>
        <w:t>E. 8</w:t>
      </w:r>
    </w:p>
    <w:p>
      <w:r>
        <w:t>Bei diesem Ausgang des Verfahrens sind die Gerichtskosten dem Beschwer- deführer aufzuerlegen (Art. 63 Abs. 1 VwVG). Angesichts der finanziellen Situation des Beschwerdeführers ist die reduzierte Gerichtsgebühr auf Fr. 1'500.-- festzusetzen (Art. 63 Abs. 5 VwVG i.V.m. Art. 73 StBOG sowie Art. 5 und 8 Abs. 3 lit. a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