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RH.2019.22 vom 10. Dezember 2019</w:t>
      </w:r>
    </w:p>
    <w:p>
      <w:r>
        <w:t>Bundesstrafgericht, 2019-12-10, DE</w:t>
      </w:r>
    </w:p>
    <w:p>
      <w:r>
        <w:rPr>
          <w:b/>
        </w:rPr>
        <w:t xml:space="preserve">Quelle: </w:t>
      </w:r>
      <w:r>
        <w:t>https://mcp.opencaselaw.ch/entscheid/bstger_RH.2019.22</w:t>
      </w:r>
    </w:p>
    <w:p>
      <w:r>
        <w:t>FR: TPF RH.2019.22 du 10 décembre 2019</w:t>
      </w:r>
    </w:p>
    <w:p>
      <w:r>
        <w:t>IT: TPF RH.2019.22 del 10 dicembre 2019</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ist das Schengener Durchführungsübereinkommen vom 14. Juni 1985 (SDÜ; ABl. L 239 vom 22. September 2000, S. 19-62) i.V.m. dem Beschluss des Rates über die Einrichtung, den Betrieb und die Nutzung des SIS der zweiten Generation (SIS II), namentlich Art. 26-31 (ABl. L 205 vom 7. August 2007, S. 63-84) anwendbar, wobei die zwischen den Vertragsparteien geltenden weitergehenden Bestimmungen aufgrund bilateraler Abkommen unberührt bleiben (Art. 59 Abs. 2 SDÜ).</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t>- 4 -</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11. November 2019 schriftlich eröffnet. Als Verfolgter (vgl. Art. 11 Abs. 1 IRSG) ist der Beschwerdeführer zur Einreichung der vorliegenden Be- schwerde legitimiert. Auf die im Übrigen form- und fristgerecht eingereichte Beschwerde ist einzutreten.</w:t>
      </w:r>
    </w:p>
    <w:p>
      <w:r>
        <w:rPr>
          <w:b/>
        </w:rPr>
        <w:t>E. 3.1</w:t>
      </w:r>
    </w:p>
    <w:p>
      <w:r>
        <w:t>Der Beschwerdeführer bestreitet das Vorliegen einer Fluchtgefahr und bringt im Wesentlichen vor, er lebe seit 27 Jahren in der Schweiz und gehe derzeit einer Arbeitstätigkeit nach. Bei der ausstehenden Zahlung von rund EUR 700.00 handle es sich lediglich um einen Bagatellbetrag, der eine Haft nicht rechtfertige. Dass er den Betrag nicht vollständig bezahlt habe, sei auf seine mehrfachen Wohnsitzwechsel sowie seine damalige psychische Ver- fassung zurückzuführen (act. 1, S. 5 ff.). In der Replik vom 4. Dezember 2019 bringt der Beschwerdeführer weiter vor, dass er den offenen Restbe- trag am 3. Dezember 2019 beglichen habe und davon ausgehe, dass das Auslieferungsersuchen demnächst zurückgezogen werde (act. 5, S. 3).</w:t>
      </w:r>
    </w:p>
    <w:p>
      <w:r>
        <w:rPr>
          <w:b/>
        </w:rPr>
        <w:t>E. 3.2</w:t>
      </w:r>
    </w:p>
    <w:p>
      <w:r>
        <w:t>Die Haft des Verfolgten während des ganzen Auslieferungsverfahrens bildet die Regel (Art. 47 Abs. 1 Satz 1 IRSG;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w:t>
      </w:r>
    </w:p>
    <w:p>
      <w:r>
        <w:t>- 5 -</w:t>
      </w:r>
    </w:p>
    <w:p>
      <w:r>
        <w:t>lit. b IRSG), wenn er nicht hafterstehungsfähig ist oder andere Gründe vor- liegen, welche eine weniger einschneidende Massnahme rechtfertigen (Art. 47 Abs. 2 IRSG), oder wenn sich die Auslieferung als offensichtlich un- zulässig erweist (Art. 51 Abs. 1 IRSG; vgl. auch FORSTER, Basler Kommen- tar, 2015, Art. 47 IRSG N. 5 und 6). Diese Aufzählung ist nicht abschliessend (BGE 130 II 306 E. 2.1; 117 IV 359 E. 2a S. 361; vgl. auch Entscheide des Bundesstrafgerichts RH.2016.10 vom 6. 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S. 310 ff. m.w.H.; Entscheid des Bundesstrafgerichts RH.2015.4 vom 23. Februar 2015 E. 5.2). So wurde beispielsweise die Möglichkeit einer Verurteilung zu einer langen Freiheitsstrafe zur Verweigerung der Haftentlassung als ausreichend be- 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(Entscheid des Bundesstrafgerichts BH.2006.4 vom 21. März 2006 E. 2.2.1).</w:t>
      </w:r>
    </w:p>
    <w:p>
      <w:r>
        <w:rPr>
          <w:b/>
        </w:rPr>
        <w:t>E. 3.3</w:t>
      </w:r>
    </w:p>
    <w:p>
      <w:r>
        <w:t>Im Falle einer Auslieferung nach Deutschland droht dem Beschwerdeführer die Verbüssung einer Freiheitsstrafe von zwei Jahren (abzüglich einen Mo- nat). Zwar wird eine effektive Verbindung des Beschwerdeführers zur Schweiz aufgrund des langen Aufenthalts in der Schweiz nicht in Frage ge- stellt. Indessen ist diese nicht dergestalt, dass deshalb die Fluchtgefahr zu verneinen wäre. Der Beschwerdeführer ist geschieden, 37 Jahre alt und so- weit ersichtlich bei guter Gesundheit, zumal er erwerbstätig ist. Angesichts der zahlreichen inner- und ausserkantonalen Wohnsitzwechsel in den letzten Jahren (act. 1, S. 5 f.; act. 1.10-1.11) ist eher von keinen stabilen Lebens-</w:t>
      </w:r>
    </w:p>
    <w:p>
      <w:r>
        <w:t>- 6 -</w:t>
      </w:r>
    </w:p>
    <w:p>
      <w:r>
        <w:t>verhältnissen auszugehen. Damit ist die Gefahr gross, dass der Beschwer- deführer ins Ausland, namentlich in sein Heimatland (Kosovo) flüchten oder in der Schweiz untertauchen und sich so der Auslieferung entziehen könnte. Der Vollständigkeit halber sei angemerkt, dass der Beschwerdegegner am 27. November 2019 die Auslieferung des Beschwerdeführers an Deutsch- land bewilligt hat (act. 4.8) und sich die Möglichkeit, ausgeliefert zu werden, für den Beschwerdeführer damit konkretisiert hat. Nach dem Gesagten ist von hoher Fluchtgefahr auszugehen.</w:t>
      </w:r>
    </w:p>
    <w:p>
      <w:r>
        <w:rPr>
          <w:b/>
        </w:rPr>
        <w:t>E. 3.4</w:t>
      </w:r>
    </w:p>
    <w:p>
      <w:r>
        <w:t>Mildere Ersatzmassnahmen, die geeignet wären, der hohen Fluchtgefahr ausreichend zu begegnen, sind keine ersichtlich. Hinsichtlich der vom Be- schwerdeführer vorgeschlagenen Ersatzmassnahmen ist er darauf hinzu- weisen, dass angesichts der einfachen Möglichkeit, sich ins Ausland abzu- setzen, Ersatzmassnahmen wie Abgabe der Reisedokumente, Electronic Monitoring, Schriftensperre und Meldepflicht nach konstanter Rechtspre- chung nur in Kombination mit einer sehr substantiellen Sicherheitsleistung als überhaupt geeignet erachtet werden, Fluchtgefahr ausreichend zu ban- nen (Entscheide des Bundesstrafgerichts RH.2017.17 vom 2. Oktober 2017 E. 5.4.4; RH.2015.20 vom 1. September 2015 E. 5.3.2; RH.2015.10 vom 10. Juni 2015 E. 5.3; RH.2015.4 vom 23. Februar 2015 E. 5.2). Mangels kon- kreter Angaben zu seiner finanziellen Situation ist davon auszugehen, dass er keine Sicherheitsleistung erbringen könnte, die geeignet wäre, zusammen mit anderen Ersatzmassnahmen der hohen Fluchtgefahr zu begegnen.</w:t>
      </w:r>
    </w:p>
    <w:p>
      <w:r>
        <w:rPr>
          <w:b/>
        </w:rPr>
        <w:t>E. 3.5</w:t>
      </w:r>
    </w:p>
    <w:p>
      <w:r>
        <w:t>An der vorgängigen Schlussfolgerung vermögen die vom Beschwerdeführer vorgebrachten Argumente nichts zu ändern. Soweit sie sich gegen die Rechtmässigkeit des vom Amtsgericht Freiburg im Breisgau ausgesproche- nen Widerrufs richten, ist der Beschwerdeführer darauf hinzuweisen, dass dieser nicht Gegenstand des vorliegenden Beschwerdeverfahrens bildet. Die Gründe, die den Beschwerdeführer daran gehindert haben sollen, der ihm auferlegten Zahlungspflicht nachzukommen, wird er gegenüber den deut- schen Behörden geltend machen können. In diesem Zusammenhang sei le- diglich angemerkt, dass der Beschwerdeführer im Beschluss des Amtsge- richts Freiburg im Breisgau vom 28. November 2011 explizit darauf hinge- wiesen wurde, dem Gericht unaufgefordert jeden Wechsel des Aufent- haltsorts oder Wohnsitzes mitzuteilen (act. 1.4). Dieser Mitteilungspflicht ist er mutmasslich nicht nachgekommen. Ebenso ist vorliegend nicht zu beur- teilen, ob der am 3. Dezember 2019 bezahlte Restbetrag von EUR 732.84 zu einem Verzicht der Vollstreckung der rechtskräftig widerrufenen Freiheits- strafe seitens der deutschen Behörden führen wird, wie dies vom Beschwer- deführer behauptet wird. Jedenfalls sind zum gegenwärtigen Zeitpunkt keine Anhaltspunkte ersichtlich, die darauf deuten würden, dass eine Auslieferung</w:t>
      </w:r>
    </w:p>
    <w:p>
      <w:r>
        <w:t>- 7 -</w:t>
      </w:r>
    </w:p>
    <w:p>
      <w:r>
        <w:t>des Beschwerdeführers offensichtlich unzulässig i.S.v. Art. 51 Abs. 1 IRSG wäre. Soweit ersichtlich, wurde das Auslieferungsersuchen trotz allfälliger Intervention des Rechtsvertreters des Beschwerdeführers bei den deutschen Behörden bis dato nicht zurückgezogen. Dementsprechend ist das Ersuchen grundsätzlich zu vollziehen, solange es nicht zurückgezogen wurde. Aus die- sen Gründen sind die Vorbringen des Beschwerdeführers unbegründet.</w:t>
      </w:r>
    </w:p>
    <w:p>
      <w:r>
        <w:rPr>
          <w:b/>
        </w:rPr>
        <w:t>E. 4</w:t>
      </w:r>
    </w:p>
    <w:p>
      <w:r>
        <w:t>Die Beschwerde erweist sich nach dem Gesagten als unbegründet und ist abzuweisen.</w:t>
      </w:r>
    </w:p>
    <w:p>
      <w:r>
        <w:rPr>
          <w:b/>
        </w:rPr>
        <w:t>E. 5</w:t>
      </w:r>
    </w:p>
    <w:p>
      <w:r>
        <w:t>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