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RH.2019.21 vom 19. November 2019</w:t>
      </w:r>
    </w:p>
    <w:p>
      <w:r>
        <w:t>Bundesstrafgericht, 2019-11-19, DE</w:t>
      </w:r>
    </w:p>
    <w:p>
      <w:r>
        <w:rPr>
          <w:b/>
        </w:rPr>
        <w:t xml:space="preserve">Quelle: </w:t>
      </w:r>
      <w:r>
        <w:t>https://mcp.opencaselaw.ch/entscheid/bstger_RH.2019.21</w:t>
      </w:r>
    </w:p>
    <w:p>
      <w:r>
        <w:t>FR: TPF RH.2019.21 du 19 novembre 2019</w:t>
      </w:r>
    </w:p>
    <w:p>
      <w:r>
        <w:t>IT: TPF RH.2019.21 del 19 novembre 2019</w:t>
      </w:r>
    </w:p>
    <w:p>
      <w:pPr>
        <w:pStyle w:val="Heading2"/>
      </w:pPr>
      <w:r>
        <w:t>Regeste</w:t>
      </w:r>
    </w:p>
    <w:p>
      <w:r>
        <w:t>Auslieferung an die USA. Aufhebung der Haft (Art. 50 Abs. 3 IRSG). Unentgeltliche Rechtspflege (Art. 65 VwVG).</w:t>
      </w:r>
    </w:p>
    <w:p>
      <w:pPr>
        <w:pStyle w:val="Heading2"/>
      </w:pPr>
      <w:r>
        <w:t>Erwägungen</w:t>
      </w:r>
    </w:p>
    <w:p>
      <w:r>
        <w:rPr>
          <w:b/>
        </w:rPr>
        <w:t>E. 1.1</w:t>
      </w:r>
    </w:p>
    <w:p>
      <w:r>
        <w:t>Für den Auslieferungsverkehr zwischen der Schweiz und den USA ist in ers- ter Linie der zwischen diesen Staaten abgeschlossene Auslieferungsvertrag vom 14. November 1990 (AVUS; SR 0.353.933.6) massgebend.</w:t>
      </w:r>
    </w:p>
    <w:p>
      <w:r>
        <w:rPr>
          <w:b/>
        </w:rPr>
        <w:t>E. 1.2</w:t>
      </w:r>
    </w:p>
    <w:p>
      <w:r>
        <w:t>Soweit dieser Staatsvertrag keine abschliessende Regelung enthält, ist das schweizerische Landesrecht anwendbar, namentlich das Bundesgesetz vom 20. März 1981 über internationale Rechtshilfe in Strafsachen (IRSG; SR 351) und die dazugehörige Verordnung vom 24. Februar 1982 (Rechts- hilfeverordnung, IRSV; SR 351.11). Dasselbe gilt nach dem Günstigkeits- prinzip, wenn das schweizerische Landesrecht geringere Anforderungen an die Auslieferung stellt (Art. 23 AVUS; BGE 142 IV 250 E. 3; 140 IV 123 E. 2; je m.w.H.).</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StBOG).</w:t>
      </w:r>
    </w:p>
    <w:p>
      <w:r>
        <w:rPr>
          <w:b/>
        </w:rPr>
        <w:t>E. 2.1</w:t>
      </w:r>
    </w:p>
    <w:p>
      <w:r>
        <w:t>Gegen die Abweisung des Haftentlassungsgesuchs durch das BJ kann der Verfolgte innert zehn Tagen ab der schriftlichen Eröffnung des Entscheids bei der Beschwerdekammer des Bundesstrafgerichts Beschwerde führen (Art. 50 Abs. 3 i.V.m. Art. 48 Abs. 2 IRSG).</w:t>
      </w:r>
    </w:p>
    <w:p>
      <w:r>
        <w:rPr>
          <w:b/>
        </w:rPr>
        <w:t>E. 2.2</w:t>
      </w:r>
    </w:p>
    <w:p>
      <w:r>
        <w:t>Die gegen den negativen Haftentlassungsentscheid vom 31. Oktober 2019 erhobene Beschwerde erweist sich als fristgerecht. Die weiteren Eintretens- voraussetzungen geben keinen Anlass zu Bemerkungen. Auf die Be- schwerde ist einzutreten.</w:t>
      </w:r>
    </w:p>
    <w:p>
      <w:r>
        <w:t>- 4 -</w:t>
      </w:r>
    </w:p>
    <w:p>
      <w:r>
        <w:rPr>
          <w:b/>
        </w:rPr>
        <w:t>E. 3.1</w:t>
      </w:r>
    </w:p>
    <w:p>
      <w:r>
        <w:t>Die Verhaftung des Verfolgten während des ganzen Auslieferungsverfah- rens bildet die Regel (Art. 47 Abs. 1 Satz 1 IRSG; BGE 136 IV 20 E. 2.2 S. 23; 130 II 306 E. 2.2 S. 309). Eine Aufhebung des Auslieferungshaftbe- 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 fensichtlich unzulässig erweist (Art. 51 Abs. 1 IRSG; vgl. auch FORSTER, Basler Kommentar, 2015, Art. 47 IRSG N. 5 und 6). Diese Aufzählung ist nicht abschliessend (BGE 130 II 306 E. 2.1; 117 IV 359 E. 2a S. 361; vgl. zum Ganzen zuletzt u.a. Entscheide des Bundesstrafgerichts RH.2019.10 vom 4. Juni 2019 E. 4; RH.2019.8 vom 9. Mai 2019 E. 3).</w:t>
      </w:r>
    </w:p>
    <w:p>
      <w:r>
        <w:rPr>
          <w:b/>
        </w:rPr>
        <w:t>E. 3.2</w:t>
      </w:r>
    </w:p>
    <w:p>
      <w:r>
        <w:t>Die Beschwerdekammer des Bundesstrafgerichts verneinte im Entscheid RR.2019.213+230 vom 28. Oktober 2019 die doppelte Strafbarkeit des dem Beschwerdeführer vorgeworfenen Verhaltens und hiess die gegen seine Auslieferung erhobene Beschwerde gut (RR.2019.230, act. 11). Da die Aus- lieferung des Beschwerdeführers infolge der fehlenden beidseitigen Straf- barkeit nach Ansicht des Gerichts offensichtlich unzulässig ist, ist die Auslie- ferungshaft nicht gerechtfertigt und deshalb aufzuheben (vgl. Entscheid des Bundesstrafgerichts RR.2007.2+25 vom 25. April 2007 E. 5.11; s.a. HEIM- GARTNER, Basler Kommentar, Internationales Strafrecht, 2015, Art. IRSG 56 N. 11). Die Beschwerde ist in diesem Punkt begründet und gutzuheissen. Der Entscheid vom 31. Oktober 2019 ist aufzuheben und der Beschwerde- führer ist aus der Auslieferungshaft zu entlassen.</w:t>
      </w:r>
    </w:p>
    <w:p>
      <w:r>
        <w:rPr>
          <w:b/>
        </w:rPr>
        <w:t>E. 4.1</w:t>
      </w:r>
    </w:p>
    <w:p>
      <w:r>
        <w:t>Weiter ersucht der Beschwerdeführer um Zusprechung einer Haftentschädi- gung (act. 1, S. 6).</w:t>
      </w:r>
    </w:p>
    <w:p>
      <w:r>
        <w:rPr>
          <w:b/>
        </w:rPr>
        <w:t>E. 4.2</w:t>
      </w:r>
    </w:p>
    <w:p>
      <w:r>
        <w:t>Über Entschädigungsbegehren für ungerechtfertigte und rechtswidrige Aus- lieferungshaft entscheidet der Beschwerdegegner in erster Instanz (BGE 113 IV 93 E. 2 S. 96 f.; Urteil des Bundesgerichts 1A.267/2005 vom 14. Dezember 2005 E. 4; KESHELAVA/DANGUBIC, Basler Kommentar, Inter- nationales Strafrecht, 2015, Art. 15 IRSG N. 4 f., 37). Gegen diesen Ent-</w:t>
      </w:r>
    </w:p>
    <w:p>
      <w:r>
        <w:t>- 5 -</w:t>
      </w:r>
    </w:p>
    <w:p>
      <w:r>
        <w:t>scheid kann bei der Beschwerdekammer des Bundesstrafgerichts Be- schwerde geführt werden (Art. 15 i.V.m. Art. 25 Abs. 1 IRSG; Art. 37 Abs. 2 lit. a StBOG).</w:t>
      </w:r>
    </w:p>
    <w:p>
      <w:r>
        <w:rPr>
          <w:b/>
        </w:rPr>
        <w:t>E. 4.3</w:t>
      </w:r>
    </w:p>
    <w:p>
      <w:r>
        <w:t>Ein anfechtbarer Entscheid des Beschwerdegegners über die Entschädi- gungsfolgen liegt nicht vor. Einen solchen konnte der Beschwerdegegner bisher auch nicht erlassen. Allfällige Entschädigungsansprüche nach Art. 15 IRSG sind a posteriori, d.h. nach rechtskräftigem Abschluss des Ausliefe- rungsverfahrens zu beurteilen (vgl. Entscheid des Bundesstrafgerichts RR.2016.295 vom 21. Juli 2017 E. 7.3). Der Beschwerdegegner erhob ge- gen den Entscheid des Bundesstrafgerichts vom 28. Oktober 2019 beim Bundesgericht Beschwerde, über welche bis dato noch nicht befunden wurde. Auf den diesbezüglichen Antrag des Beschwerdeführers ist deshalb nicht einzutreten. Aus demselben Grund kann auf den Antrag des Beschwer- deführers nicht eingetreten werden, mit welchem er die Feststellung der Rechtswidrigkeit der angeordneten Auslieferungshaft beantragt.</w:t>
      </w:r>
    </w:p>
    <w:p>
      <w:r>
        <w:rPr>
          <w:b/>
        </w:rPr>
        <w:t>E. 5</w:t>
      </w:r>
    </w:p>
    <w:p>
      <w:r>
        <w:t>Nach dem Gesagten ist die Beschwerde gutzuheissen, soweit darauf einzu- treten ist.</w:t>
      </w:r>
    </w:p>
    <w:p>
      <w:r>
        <w:rPr>
          <w:b/>
        </w:rPr>
        <w:t>E. 6.1</w:t>
      </w:r>
    </w:p>
    <w:p>
      <w:r>
        <w:t>Bei diesem Ausgang des Verfahrens hat der Beschwerdeführer überwiegend obsiegt, weshalb es sich rechtfertigt, auf die Erhebung von Gerichtskosten zu verzichten (vgl. Art. 63 Abs. 3 VwVG i.V.m. Art. 12 Abs. 1 IRSG, Art. 39 Abs. 2 lit. b und Art. 37 Abs. 2 lit. a StBOG).</w:t>
      </w:r>
    </w:p>
    <w:p>
      <w:r>
        <w:rPr>
          <w:b/>
        </w:rPr>
        <w:t>E. 6.2</w:t>
      </w:r>
    </w:p>
    <w:p>
      <w:r>
        <w:t>Vorliegend hat der Rechtsvertreter des Beschwerdeführers keine Honorar- note eingereicht. Entsprechend ist die Entschädigung pauschal und ermes- senweise auf Fr. 1’000.-- (inkl. MwSt.) festzusetzen (vgl. Art. 8 Abs. 1 lit. a sowie Art. 12 des Reglement des Bundesstrafgerichts vom 31. August 2010 über die Kosten, Gebühren und Entschädigungen in Bundesstrafverfahren [BStKR; SR 173.713.162]; Entscheid des Bundesstrafgerichts RR.2011.155 vom 6. September 2011 E. 6.3). Damit wird das Gesuch um Gewährung der unentgeltlichen Rechtspflege und –verbeiständung gegenstandslos und ist als solches abzuschreiben.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