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RH.2019.13 vom 13. Juni 2019</w:t>
      </w:r>
    </w:p>
    <w:p>
      <w:r>
        <w:t>Bundesstrafgericht, 2019-06-13, DE</w:t>
      </w:r>
    </w:p>
    <w:p>
      <w:r>
        <w:rPr>
          <w:b/>
        </w:rPr>
        <w:t xml:space="preserve">Quelle: </w:t>
      </w:r>
      <w:r>
        <w:t>https://mcp.opencaselaw.ch/entscheid/bstger_RH.2019.13</w:t>
      </w:r>
    </w:p>
    <w:p>
      <w:r>
        <w:t>FR: TPF RH.2019.13 du 13 juin 2019</w:t>
      </w:r>
    </w:p>
    <w:p>
      <w:r>
        <w:t>IT: TPF RH.2019.13 del 13 giugno 2019</w:t>
      </w:r>
    </w:p>
    <w:p>
      <w:pPr>
        <w:pStyle w:val="Heading2"/>
      </w:pPr>
      <w:r>
        <w:t>Regeste</w:t>
      </w:r>
    </w:p>
    <w:p>
      <w:r>
        <w:t>Auslieferung an Rumänien. Auslieferungshaftbefehl (Art. 48 Abs. 2 IRSG).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ZIMMERMANN, La coopération judi- ciaire internationale en matière pénale, 5. Aufl., 2019, N. 22 f.). Ausserdem gelangt zur Anwendung der Beschluss 2007/533/JI des Rates vom 12. Juni 2007 über die Einrichtung, den Betrieb und die Nutzung des Schengener Informationssystems der zweiten Generation (SIS-II-Beschluss; ABl. L 205 vom 7. August 2007, S. 63–84; ZIMMERMANN, a.a.O., N. 28 ff.; Beschluss 2010/365/EU des Rates vom 29. Juni 2010 über die Anwendung der Bestimmungen des Schengen-Besitzstands über das Schengener Informa- tionssystem in der Republik Bulgarien und Rumänien, ABl. L 166 vom 1. Juli 2010, S. 17–20), namentlich dessen Art. 26 bis 31.</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w:t>
      </w:r>
    </w:p>
    <w:p>
      <w:r>
        <w:t>- 4 -</w:t>
      </w:r>
    </w:p>
    <w:p>
      <w:r>
        <w:t>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a.a.O., N. 229). Vorbehalten bleibt die Wahrung der Menschenrechte (BGE 139 II 65 E. 5.4 letzter Absatz; 135 IV 212 E. 2.3; 123 II 595 E. 7c; Urteil des Bun- desgerichts 1C_274/2015 vom 12. August 2015 E. 6.1; ZIMMERMANN, a.a.O., N. 211 ff., 223 ff., 681 ff.).</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Beschwerdeführer ist legitimiert, den gegen ihn erlassenen Ausliefe- rungshaftbefehl anzufechten. Auf die auch innert Frist eingereichte Be- schwerde ist damit einzutreten.</w:t>
      </w:r>
    </w:p>
    <w:p>
      <w:r>
        <w:rPr>
          <w:b/>
        </w:rPr>
        <w:t>E. 3.1</w:t>
      </w:r>
    </w:p>
    <w:p>
      <w:r>
        <w:t>Die Verhaftung des Beschuldigten während des ganzen Auslieferungsver- fahrens bildet die Regel (Art. 47 Abs. 1 Satz 1 IRSG; BGE 136 IV 20 E. 2.2; 130 II 306 E. 2.2). Eine Aufhebung des Auslieferungshaftbefehls sowie eine Haftentlassung rechtfertigen sich nur ausnahmsweise, wenn der Beschul- digte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wenn sich die Auslieferung als offensichtlich un- zulässig erweist (Art. 51 Abs. 1 IRSG; vgl. auch FORSTER, Basler Kommen- tar, Internationales Strafrecht, 2015, Art. 47 IRSG N. 5, 6). Offensichtlich un- zulässig kann ein Auslieferungsersuchen sein, wenn ohne jeden Zweifel und ohne weitere Abklärungen ein Ausschlussgrund vorliegt (vgl. BGE 111 IV 108 E. 3a). Diese Aufzählung ist nicht abschliessend (BGE 130 II 306 E. 2.1; 117 IV 359 E. 2a S. 361).</w:t>
      </w:r>
    </w:p>
    <w:p>
      <w:r>
        <w:t>- 5 -</w:t>
      </w:r>
    </w:p>
    <w:p>
      <w:r>
        <w:rPr>
          <w:b/>
        </w:rPr>
        <w:t>E. 3.2</w:t>
      </w:r>
    </w:p>
    <w:p>
      <w:r>
        <w:t>Der Beschwerdeführer beantragt, die Strafe nicht in Rumänien abzusitzen. Er habe dort keine Sicherheit und die Strafmethoden seien wirklich sehr hart. Zellen von 20 Quadratmetern seien mit 40 oder 50 Gefangenen überbelegt, darunter auch Mörder oder noch schlimmeres. Rumänien nehme auch auf seinen Gesundheitszustand keine Rücksicht (act. 1).</w:t>
      </w:r>
    </w:p>
    <w:p>
      <w:r>
        <w:rPr>
          <w:b/>
        </w:rPr>
        <w:t>E. 3.3</w:t>
      </w:r>
    </w:p>
    <w:p>
      <w:r>
        <w:t>Der Beschwerdeführer bringt damit Einwände zur Auslieferungssache vor. Einwände des Verfolgten gegen eine Auslieferung als solche bzw. gegen die Begründetheit des Auslieferungsbegehrens sind im Haftbeschwerdeverfah- ren grundsätzlich nicht zu hören (vgl. BGE 111 Ib 147 E. 4; 111 IV 108 E. 3a). Einzig die offensichtliche Unzulässigkeit der Auslieferung könnte in diesem Zusammenhang einen materiell-rechtlichen Haftentlassungsgrund bilden (Art. 51 Abs. 1 IRSG; vgl. BGE 111 IV 108 E. 3a; Urteil des Bundesgerichts 1A.37/2007 vom 30. März 2007 E. 3; Entscheid des Bundesstrafgerichts RH.2018.1 vom 13. Februar 2018 E. 3 m.w.H.). Die Vorbringen des Be- schwerdeführers lassen die Auslieferung klar nicht als offensichtlich unzu- lässig erscheinen.</w:t>
      </w:r>
    </w:p>
    <w:p>
      <w:r>
        <w:rPr>
          <w:b/>
        </w:rPr>
        <w:t>E. 4</w:t>
      </w:r>
    </w:p>
    <w:p>
      <w:r>
        <w:t>Andere Gründe, welche eine Auslieferung offensichtlich auszuschliessen oder sonst zu einer Aufhebung der Auslieferungshaft zu führen vermöchten, werden weder geltend gemacht noch sind solche ersichtlich. Die Be- schwerde erweist sich als unbegründet, weshalb sie abzuweisen ist.</w:t>
      </w:r>
    </w:p>
    <w:p>
      <w:r>
        <w:rPr>
          <w:b/>
        </w:rPr>
        <w:t>E. 5</w:t>
      </w:r>
    </w:p>
    <w:p>
      <w:r>
        <w:t>Bei diesem Ausgang des Verfahrens sind die Gerichtskosten dem Be- schwerdeführer aufzuerlegen (vgl. Art. 63 Abs. 1 VwVG). Die Gerichtsgebühr ist auf Fr. 1'000.-- festzusetzen (vgl. Art. 63 Abs. 5 VwVG i.V.m. Art. 73 StBOG sowie Art. 5 und 8 Abs. 3 lit. a des Reglements des Bundesstrafge- richts vom 31. August 2010 über die Kosten, Gebühren und Entschädigun- 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