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RH.2019.12 vom 25. Juni 2019</w:t>
      </w:r>
    </w:p>
    <w:p>
      <w:r>
        <w:t>Bundesstrafgericht, 2019-06-25, DE</w:t>
      </w:r>
    </w:p>
    <w:p>
      <w:r>
        <w:rPr>
          <w:b/>
        </w:rPr>
        <w:t xml:space="preserve">Quelle: </w:t>
      </w:r>
      <w:r>
        <w:t>https://mcp.opencaselaw.ch/entscheid/bstger_RH.2019.12</w:t>
      </w:r>
    </w:p>
    <w:p>
      <w:r>
        <w:t>FR: TPF RH.2019.12 du 25 juin 2019</w:t>
      </w:r>
    </w:p>
    <w:p>
      <w:r>
        <w:t>IT: TPF RH.2019.12 del 25 giugno 2019</w:t>
      </w:r>
    </w:p>
    <w:p>
      <w:pPr>
        <w:pStyle w:val="Heading2"/>
      </w:pPr>
      <w:r>
        <w:t>Regeste</w:t>
      </w:r>
    </w:p>
    <w:p>
      <w:r>
        <w:t>Auslieferung an Italien. Auslieferungshaftbefehl (Art. 48 Abs. 2 IRSG). Unentgeltliche Rechtspfelge (Art. 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 136 IV 88 E. 3.1 S. 89) sowie Art. 26 ff. des Beschlus- ses des Rates über die Einrichtung, den Betrieb und die Nutzung des SIS der zweiten Generation (SIS II; ABl. L 205 vom 7. August 2007, S. 63–84), wobei die zwischen den Vertragsparteien geltenden weitergehenden Best- immungen aufgrund bilateraler Abkommen unberührt bleiben (Art. 59 Abs. 2 SDÜ; ZIMMERMANN, La coopération judiciaire internationale en matière pénale, 5. Aufl. 2019, N. 22 f., 28–52, 193 ff.).</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 ZIMMERMANN, a.a.O., N. 170 ff., 211 ff., 240 ff.).</w:t>
      </w:r>
    </w:p>
    <w:p>
      <w:r>
        <w:t>Für das Beschwerdeverfahren gelten zudem die Art. 379–397 StPO sinnge- mäss (Art. 48 Abs. 2 i.V.m. Art. 47 IRSG) sowie die Bestimmungen des VwVG (vgl. Art. 39 Abs. 2 lit. b i.V.m. Art. 37 Abs. 2 lit. a Ziff. 1 StBOG; ZIMMERMANN, a.a.O., N. 273).</w:t>
      </w:r>
    </w:p>
    <w:p>
      <w:r>
        <w:rPr>
          <w:b/>
        </w:rPr>
        <w:t>E. 2</w:t>
      </w:r>
    </w:p>
    <w:p>
      <w:r>
        <w:t>Gegen den Auslieferungshaftbefehl des BJ kann der Verfolgte innert zehn Tagen ab der schriftlichen Eröffnung Beschwerde bei der Beschwerdekam- mer des Bundesstrafgerichts führen (Art. 48 Abs. 2 IRSG; ZIMMERMANN, a.a.O., N. 498, 536). Der Auslieferungshaftbefehl ist dem Beschwerdeführer am 23. Mai 2019 ausgehändigt worden. Am 3. Juni 2019 erhob er form- und fristgerecht Beschwerde. Die übrigen Eintretensvoraussetzungen geben kei- nen Anlass zu Bemerkungen. Auf die Beschwerde ist einzutreten.</w:t>
      </w:r>
    </w:p>
    <w:p>
      <w:r>
        <w:t>- 4 -</w:t>
      </w:r>
    </w:p>
    <w:p>
      <w:r>
        <w:rPr>
          <w:b/>
        </w:rPr>
        <w:t>E. 3.1</w:t>
      </w:r>
    </w:p>
    <w:p>
      <w:r>
        <w:t>Gemäss Art. 47 Abs. 1 IRSG erlässt das Bundesamt einen Auslieferungs- haftbefehl. Es kann davon absehen, namentlich wenn der Verfolgte voraus- sichtlich sich der Auslieferung nicht entzieht und die Strafuntersuchung nicht gefährdet (Art. 47 Abs. 1 lit. a IRSG; BGE 130 II 306 E. 2.1; ZIMMERMANN, a.a.O., N. 348–350, 500).</w:t>
      </w:r>
    </w:p>
    <w:p>
      <w:r>
        <w:rPr>
          <w:b/>
        </w:rPr>
        <w:t>E. 3.2</w:t>
      </w:r>
    </w:p>
    <w:p>
      <w:r>
        <w:t>Der Beschwerdeführer macht geltend, es bestehe weder Flucht- noch Kollu- sionsgefahr. Er erkläre sich ausdrücklich bereit, sich einer Ersatzmass- nahme (wie Schriftensperre, Meldepflicht und Weisungen des BJ hinsichtlich des Aufenthaltsortes zusammen mit einem Electronic Monitoring) zu unter- ziehen. Die Mutter des Beschwerdeführers und er selbst seien beide in Bra- silien geboren worden. Bei den Eltern seiner Mutter habe es sich um eine Schweizerin und einen Deutschen gehandelt, die 1939 nach Brasilien ge- flüchtet seien. Die Mutter des Beschwerdeführers sei vor ca. 30 Jahren wie- der nach W. (Schweiz) gezogen. Der Beschwerdeführer sei im Jahre 2013 in die Schweiz umgezogen, um seine Mutter zu pflegen, die an Alzheimer erkrankt sei. Die Ehefrau des Beschwerdeführers, D., sei einige Monate spä- ter im Rahmen des Familiennachzuges in die Schweiz gekommen. Am 18. Juli 2018 sei ihr gemeinsamer Sohn, Noah Gabriel, geboren worden, und gegenwärtig sei seine Ehefrau im fünften Monat schwanger. Der Beschwer- deführer besuche seine Mutter, die im Moment noch alleine wohne, drei Mal pro Woche, um ihr die dringend notwendigen Medikamente zu besorgen, sie zum Arzt zu begleiten, das Finanzielle und Administrative zu erledigen und für sie einzukaufen. Auch zu Hause müsse sich der Beschwerdeführer um alles kümmern, da seine Ehefrau unter Komplikationen der Schwangerschaft zu leiden habe. Er und seine Frau besässen beide die Aufenthaltsbewilligung B, würden fliessend deutsch sprechen und seien in W. gut integriert. Der Beschwerdeführer habe bis März dieses Jahres in einem Restaurant in W. gearbeitet, habe aber wegen vorübergehender Überbesetzung des Personal im Betrieb pausieren müssen. Sein Arbeitgeber habe ihm aber zugesichert, ihn möglichst zeitnah wiedereinzustellen. Die Fluchtgefahr müsse daher klar verneint werden. Eine Kollusionsgefahr liege ebenfalls nicht vor, denn der Beschwerdeführer pflege zu den mitbeschuldigten Personen keinen Kontakt mehr. Zudem laufe das Verfahren bereits seit acht Jahren (act. 1 S. 3 ff.).</w:t>
      </w:r>
    </w:p>
    <w:p>
      <w:r>
        <w:rPr>
          <w:b/>
        </w:rPr>
        <w:t>E. 3.3</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 Zunächst ist festzuhalten, dass der</w:t>
      </w:r>
    </w:p>
    <w:p>
      <w:r>
        <w:t>- 5 -</w:t>
      </w:r>
    </w:p>
    <w:p>
      <w:r>
        <w:t>Tatvorwurf gegenüber dem Beschwerdeführer schwer wiegt. Ihm droht in Ita- lien eine Strafe von zehn bis zwanzig Jahren (act. 3.1). Der Beschwerdefüh- rer muss somit im Falle einer Auslieferung mit einer langen Freiheitsstrafe rechnen, weshalb gestützt auf die angeführte Rechtsprechung von einer ho- hen Fluchtgefahr auszugehen ist. Zwar kann aufgrund der Tatsache, dass der Beschwerdeführer seit fünf Jahren in der Schweiz wohnt und auch seine Familie hier lebt, davon ausgegangen werden, er sei mit diesem Land ver- bunden. Allerdings ist diese Verbindung nicht dergestalt, dass deshalb die hohe Fluchtgefahr gebannt wäre. Der Beschwerdeführer ist 37-jährig und damit vergleichsweise jung, was gemäss bundesgerichtlicher Rechtspre- chung eine Flucht eher wahrscheinlich erscheinen lässt als bei jemandem in fortgeschrittenem Alter (BGE 136 IV 20 E. 2.3 m.w.H.). Auch der Einwand des Beschwerdeführers, er sei über die gegen ihn erhobenen Tatvorwürfe schon seit geraumer Zeit in Kenntnis gewesen (act. 5 S. 3), ist nicht entschei- dend. Denn erst mit dem Auslieferungshaftbefehl haben sich die Tatvorwürfe konkretisiert und damit auch die Möglichkeit einer Auslieferung (vgl. auch BGE 136 IV 20 E. 2.2; Urteil des Bundesgerichts 8G.45/2001 vom 16. Au- gust 2001 E. 3a). Offenbar hatte der Beschwerdeführer denn auch bis zum Auslieferungshaftbefehl gar nicht (mehr) damit gerechnet, dass Italien ein Auslieferungsersuchen gegen ihn stellen würde. Er führte in seiner Einver- nahme vom 23. Mai 2019 diesbezüglich nämlich aus, dass er nicht verstehe, weshalb Italien erst jetzt auf ihn zukomme. Er sei seit ungefähr fünf Jahren in der Schweiz wohnhaft und in dieser Zeit mehrmals nach Brasilien geflogen (act. 3.4 S. 4). Schliesslich ist festzuhalten, dass die geltend gemachten Nachteile familiärer Art normale Folgen des gegen den Beschwerdeführer geführten Strafverfahrens sind und keine Haftentlassung rechtfertigen (vgl. Entscheid des Bundesstrafgerichts RR.2009.76 vom 9. September 2009 E. 10). Selbst unter dem Blickwinkel von Art. 8 EMRK sind nach der Praxis des Bundesgerichtes und des Europäischen Gerichtshofes für Menschen- rechte Eingriffe in das Familienleben, welche auf rechtmässige Strafverfol- gungsmassnahmen zurückzuführen sind, grundsätzlich zulässig (vgl. Urteil des Bundesgerichts 1A.213/2002 vom 20. November 2002 E. 4.3, mit weite- ren Hinweisen; BGE 120 Ib 120 E. 3d).</w:t>
      </w:r>
    </w:p>
    <w:p>
      <w:r>
        <w:t>Zusammenfassend ist das Vorliegen von Fluchtgefahr zu bejahen. Ob dane- ben auch Kollusionsgefahr besteht, braucht nicht geprüft zu werden, da das BJ den Auslieferungshaftbefehl einzig mit dem Vorliegen des Haftgrundes der Fluchtgefahr begründete und gemäss Art. 47 Abs. 1 lit. a IRSG dies ge- nügt, um diese Massnahme zu bestätigen.</w:t>
      </w:r>
    </w:p>
    <w:p>
      <w:r>
        <w:rPr>
          <w:b/>
        </w:rPr>
        <w:t>E. 3.4</w:t>
      </w:r>
    </w:p>
    <w:p>
      <w:r>
        <w:t>Der Fluchtgefahr kann sodann mit den vom Beschwerdeführer erwähnten Ersatzmassnahmen nicht ausreichend begegnet werden. Eine Ausweis- bzw. Schriftensperre wäre praktisch wirkungslos, da die schweizerischen Behörden den deutschen und brasilianischen Behörden nicht verbieten kön- nen, dem Beschwerdeführer allenfalls neue Schriften auszustellen (vgl.</w:t>
      </w:r>
    </w:p>
    <w:p>
      <w:r>
        <w:t>- 6 -</w:t>
      </w:r>
    </w:p>
    <w:p>
      <w:r>
        <w:t>hierzu u.a. Urteil des Bundesgerichts 1B_211/2017 vom 27. Juni 2017 E. 4; Entscheid des Bundesstrafgerichts RH.2018.11 vom 18. Juli 2018 E. 6.4). Im Übrigen werden, gerade auch in Anbetracht der einfachen Möglichkeit, sich ins Ausland abzusetzen, nach konstanter Rechtsprechung Abgabe der Reisedokumente, Schriftensperre, Meldepflicht und Electronic Monitoring nur in Kombination mit einer sehr substantiellen Sicherheitsleistung als über- haupt geeignet erachtet, Fluchtgefahr ausreichend zu bannen (Entscheide des Bundesstrafgerichts RH.2017.17 vom 2. Oktober 2017 E. 5.4.4; RH.2015.20 vom 1. September 2015 E. 5.3.2; RH.2015.10 vom 10. Juni 2015 E. 5.3; RH.2015.4 vom 23. Februar 2015 E. 5.2). Der Beschwerdefüh- rer äussert sich nicht zur Höhe einer allfälligen Sicherheitsleistung, er macht gegenteils geltend, aufgrund der finanziellen Situation gegenwärtig keine Si- cherheitsleistung erbringen zu können. Es werde jedoch abgeklärt, ob der (ehemalige) Arbeitgeber unter Umständen eine solche hinterlegen könne (act. 1 S. 5). Eine Ersatzmassnahme, welche die Fluchtgefahr zu reduzieren vermöchte, ist damit nicht erkennbar.</w:t>
      </w:r>
    </w:p>
    <w:p>
      <w:r>
        <w:t>Die Beschwerde erweist sich damit als unbegründet.</w:t>
      </w:r>
    </w:p>
    <w:p>
      <w:r>
        <w:rPr>
          <w:b/>
        </w:rPr>
        <w:t>E. 4</w:t>
      </w:r>
    </w:p>
    <w:p>
      <w:r>
        <w:t>Andere Gründe, welche ein Auslieferung offensichtlich auszuschliessen oder sonst zu einer Aufhebung der Auslieferungshaft zu führen vermöchten, wer- den weder geltend gemacht noch sind solche ersichtlich.</w:t>
      </w:r>
    </w:p>
    <w:p>
      <w:r>
        <w:rPr>
          <w:b/>
        </w:rPr>
        <w:t>E. 5.1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5.2</w:t>
      </w:r>
    </w:p>
    <w:p>
      <w:r>
        <w:t>Nach dem oben Ausgeführten muss die vorliegende Beschwerde als aus- sichtslos bezeichnet werden. Schon aus diesem Grund ist das Gesuch um unentgeltliche Rechtspflege abzuweisen. Bei der Festsetzung der Gerichts- gebühr kann gemäss Art. 63 Abs. 4bis VwVG der womöglich schwierigen fi- nanziellen Situation des Beschwerdeführers Rechnung getragen werden.</w:t>
      </w:r>
    </w:p>
    <w:p>
      <w:r>
        <w:t>- 7 -</w:t>
      </w:r>
    </w:p>
    <w:p>
      <w:r>
        <w:rPr>
          <w:b/>
        </w:rPr>
        <w:t>E. 6</w:t>
      </w:r>
    </w:p>
    <w:p>
      <w:r>
        <w:t>Bei diesem Ausgang des Verfahrens sind die Gerichtskosten dem Beschwer- deführer aufzuerlegen (Art. 63 Abs. 1 VwVG). Angesichts der finanziellen Situation des Beschwerdeführers ist die reduzierte Gerichtsgebühr auf Fr. 1'000.-- festzusetzen (Art. 63 Abs. 5 VwVG i.V.m. Art. 73 StBOG sowie Art. 5 und 8 Abs. 3 lit. a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