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 vom 22. Januar 2019</w:t>
      </w:r>
    </w:p>
    <w:p>
      <w:r>
        <w:t>Bundesstrafgericht, 2019-01-22, DE</w:t>
      </w:r>
    </w:p>
    <w:p>
      <w:r>
        <w:rPr>
          <w:b/>
        </w:rPr>
        <w:t xml:space="preserve">Quelle: </w:t>
      </w:r>
      <w:r>
        <w:t>https://mcp.opencaselaw.ch/entscheid/bstger_RH.2019.1</w:t>
      </w:r>
    </w:p>
    <w:p>
      <w:r>
        <w:t>FR: TPF RH.2019.1 du 22 janvier 2019</w:t>
      </w:r>
    </w:p>
    <w:p>
      <w:r>
        <w:t>IT: TPF RH.2019.1 del 22 gennaio 2019</w:t>
      </w:r>
    </w:p>
    <w:p>
      <w:pPr>
        <w:pStyle w:val="Heading2"/>
      </w:pPr>
      <w:r>
        <w:t>Regeste</w:t>
      </w:r>
    </w:p>
    <w:p>
      <w:r>
        <w:t>Auslieferung an die Ukraine. Auslieferungshaftbefehl (Art. 48 Abs. 2 IRSG). Unentgeltliche Rechtspflege (Art. 65 VwVG).</w:t>
      </w:r>
    </w:p>
    <w:p>
      <w:pPr>
        <w:pStyle w:val="Heading2"/>
      </w:pPr>
      <w:r>
        <w:t>Erwägungen</w:t>
      </w:r>
    </w:p>
    <w:p>
      <w:r>
        <w:rPr>
          <w:b/>
        </w:rPr>
        <w:t>E. 1.1</w:t>
      </w:r>
    </w:p>
    <w:p>
      <w:r>
        <w:t>Für den Auslieferungsverkehr zwischen der Schweiz und der Ukraine sind primär das Europäische Auslieferungsübereinkommen vom 13. Dezem- ber 1957 (EAUe; SR 0.353.1) und die beiden hierzu ergangenen Zusatzpro- tokolle vom 15. Oktober 1975 (ZPI EAUe; SR 0.353.11) bzw. vom 17. März 1978 (ZPII EAUe; SR 0.353.12), welchen beide Staaten beigetreten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StBOG).</w:t>
      </w:r>
    </w:p>
    <w:p>
      <w:r>
        <w:t>- 4 -</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31. Dezember 2018 schriftlich eröffnet (act. 3.6). Seine am 3. Januar 2019 erhobene Beschwerde erweist sich als fristgerecht. Die übrigen Eintre- tensvoraussetzungen geben keinen Anlass zu weiteren Bemerkungen. Auf die Beschwerde ist somit einzutreten.</w:t>
      </w:r>
    </w:p>
    <w:p>
      <w:r>
        <w:rPr>
          <w:b/>
        </w:rPr>
        <w:t>E. 3.1</w:t>
      </w:r>
    </w:p>
    <w:p>
      <w:r>
        <w:t>Gemäss dem Auslieferungsbegehren vom 20. Dezember 2018 werfen die ukrainischen Behörden dem Beschwerdeführer zusammengefasst vor, B. unter dem Vorwand, ein Verhandlungstreffen mit potenziellen Geschäftspart- nern zu organisieren, in die Dominikanische Republik eingeladen zu haben. B. sei am 20. Juni 2016 in die Dominikanische Republik gereist, woraufhin er unter Anwendung von körperlicher Gewalt seitens des Beschwerdeführers und anderer, nicht identifizierten Personen in einem Haus in Punta Cana festgehalten worden sei, um von ihm Eigentum und Eigentumsrechte zu er- pressen. B. habe sich weder frei verständigen noch frei bewegen können. Der Beschwerdeführer habe das Mobiltelefon von B. mit der ukrainischen Nummer 1 an sich genommen und habe dieses sowohl in der Dominikani- schen Republik als auch in der Ukraine benutzt. Insbesondere habe er mit dem Telefon von B. dessen Ehefrau und dessen Assistentin, C., Mitteilungen gesendet, deren Inhalt Text-, Foto- und Morddrohungen gewesen seien, für den Fall, dass der Beschwerdeführer USD 2 Mio. nicht erhalten werde. Um B. zu befreien, habe C. der Forderung des Beschwerdeführers zugestimmt. Daraufhin habe C. und ein weiterer Assistent von B. die im Eigentum von B. stehenden Fahrzeuge der Marke […] und […] am 4. Juli und 11. August 2016 auf dem vom Beschwerdeführer genannten Parkplatz abgestellt. Beide Fahr- zeuge seien vom Beschwerdeführer benutzt und später von der Polizei si- chergestellt worden. Weiter seien auf die Aufforderung des Beschwerdefüh- rers hin am 15. Juli und 5. August 2016 Kaufverträge betreffend zweier Lie- genschaften und eines Grundstücks in […] geschlossen worden (act. 3.9, Auslieferungsantrag vom 20. Dezember 2018).</w:t>
      </w:r>
    </w:p>
    <w:p>
      <w:r>
        <w:rPr>
          <w:b/>
        </w:rPr>
        <w:t>E. 3.2</w:t>
      </w:r>
    </w:p>
    <w:p>
      <w:r>
        <w:t>Der Beschwerdeführer äussert sich vorliegend zu der ihm im Ersuchen vor- geworfenen Tat nicht. Auch wird von ihm nicht behauptet, zur mutmasslichen Tatzeit nicht am Tatort gewesen zu sein (vgl. Art. 47 Abs. 1 lit. b IRSG). Viel-</w:t>
      </w:r>
    </w:p>
    <w:p>
      <w:r>
        <w:t>- 5 -</w:t>
      </w:r>
    </w:p>
    <w:p>
      <w:r>
        <w:t>mehr bestreitet er lediglich das Vorliegen von Haftgründen und bringt zusam- mengefasst vor, er gehe davon aus, dass er wegen Fluchtgefahr in Auslie- ferungshaft festgehalten werde. Mit seinem Asylantrag habe er jedoch zum Ausdruck gebracht, dass er in der Schweiz in Sicherheit zu verbleiben und nicht zu flüchten beabsichtige. In der Ukraine drohe ihm ernsthafte Gefahr für Leib und Leben. Da das Asylverfahren voraussichtlich eine beträchtliche Zeit in Anspruch nehmen werde, wäre eine Auslieferungshaft während der Zeit des Asylverfahrens unverhältnismässig, weshalb er um Anordnung di- verser Ersatzmassnahmen ersucht (act. 1, S. 3 ff.).</w:t>
      </w:r>
    </w:p>
    <w:p>
      <w:r>
        <w:rPr>
          <w:b/>
        </w:rPr>
        <w:t>E. 4.1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RH.2017.17 vom 2. Oktober 2017 E. 2).</w:t>
      </w:r>
    </w:p>
    <w:p>
      <w:r>
        <w:rPr>
          <w:b/>
        </w:rPr>
        <w:t>E. 4.2</w:t>
      </w:r>
    </w:p>
    <w:p>
      <w:r>
        <w:t>Zur bestrittenen Fluchtgefahr ist dem Beschwerdeführer entgegenzuhalten, dass die Rechtsprechung des Bundesgerichts hinsichtlich der Verneinung von Fluchtgefahr überaus restriktiv ist und der Erfüllung der staatsvertragli- chen Auslieferungspflichten im Vergleich zu den Interessen des Verfolgten ausserordentlich grosses Gewicht beimisst. Das Bundesgericht bejaht die Fluchtgefahr bei drohenden, hohen Freiheitsstrafen in der Regel sogar dann, wenn der Betroffene über eine Niederlassungsbewilligung und familiäre Bin- dungen in der Schweiz verfügt (BGE 136 IV 20 E. 2.3; Urteil des Bundesge- richts 8G.45/2001 vom 15. August 2001 E. 3a). Vorliegend wiegt der dem Beschwerdeführer gegenüber erhobene Tatvorwurf schwer und ihm droht eine Freiheitsstrafe von bis zu 12 Jahren (act. 3.9, Auszug aus dem Strafge- setzbuch der Ukraine). Hinzu kommt, dass der Beschwerdeführer in der Schweiz nicht wohnhaft ist und keinen Bezug zur Schweiz aufzuweisen ver- mochte. Der Beschwerdeführer wurde am Flughafen Zürich festgenommen. Weshalb er in die Schweiz eingereist ist, geht weder aus den Ausführungen</w:t>
      </w:r>
    </w:p>
    <w:p>
      <w:r>
        <w:t>- 6 -</w:t>
      </w:r>
    </w:p>
    <w:p>
      <w:r>
        <w:t>des Beschwerdeführers noch den vorliegenden Akten hervor. Anlässlich der Einvernahme vom 19. Dezember 2018 gab der Beschwerdeführer zu Proto- koll, seit über sieben Jahren in der Dominikanischen Republik wohnhaft zu sein, wo auch seine Familie lebe (act. 3.5, S. 2). Dementsprechend ist dem Beschwerdegegner insoweit Recht zu geben, als er von einer hohen Flucht- gefahr ausgeht.</w:t>
      </w:r>
    </w:p>
    <w:p>
      <w:r>
        <w:rPr>
          <w:b/>
        </w:rPr>
        <w:t>E. 4.3</w:t>
      </w:r>
    </w:p>
    <w:p>
      <w:r>
        <w:t>Die vom Beschwerdeführer vorgeschlagenen Ersatzmassnahmen vermögen die hohe Fluchtgefahr nicht zu beseitigen. An dieser Schlussfolgerung ver- mag auch das vom Beschwerdeführer gestellte Asylgesuch nichts zu än- dern. Das am 3. Januar 2019, mithin erst während der Auslieferungshaft ge- stellte Asylgesuch hat auf die Annahme der Fluchtgefahr keinen Einfluss. Entgegen der Ansicht des Beschwerdeführers führt das Stellen eines Asyl- gesuchs nicht ohne Weiteres zur Verneinung der Fluchtgefahr. Eine provi- sorische Haftentlassung würde es dem Beschwerdeführer erlauben, die Schweiz zu verlassen oder hier unterzutauchen. Daran wird den Beschwer- deführer ein in der Schweiz hängiges Asylverfahren nicht hindern können. Die Annahme des Beschwerdeführers birgt zudem die Gefahr, dass das Asylrecht als Institut zweckentfremdet und missbräuchlich eingesetzt werden könnte. Wie der Beschwerdegegner zutreffend ausführt, wird das Asylver- fahren mit dem Auslieferungsverfahren koordiniert werden müssen. Das Vor- bringen ist unbehelflich.</w:t>
      </w:r>
    </w:p>
    <w:p>
      <w:r>
        <w:rPr>
          <w:b/>
        </w:rPr>
        <w:t>E. 4.4</w:t>
      </w:r>
    </w:p>
    <w:p>
      <w:r>
        <w:t>Hinsichtlich der Rüge, wonach sich weder der ersuchende Staat noch der Beschwerdegegner zu den Haftgründen geäussert hätten, ist der Beschwer- deführer darauf hinzuweisen, dass es sich beim Rechtshilfeverfahren um ein internes schweizerisches Verfahren handelt und dem ersuchenden Staat im Rechtshilfeverfahren grundsätzlich keine Parteistellung zukommt (BGE 129 II 453 E. 2.2.1; 125 II 411 E. 3a; ZIMMERMANN, La coopération judiciaire in- ternationale en matière pénale, 4. Aufl. 2014, N. 320). Inwiefern sich der er- suchende Staat zu den im hiesigen Recht vorgesehenen Haftgründen zu äussern hat, ist nicht nachvollziehbar und wird vom Beschwerdeführer nicht näher ausgeführt. Auch dieses Vorbringen ist unbehelflich.</w:t>
      </w:r>
    </w:p>
    <w:p>
      <w:r>
        <w:t>Berechtigt ist hingegen der Einwand des Beschwerdeführers, wonach der Auslieferungshaftbefehl den Haftgrund nicht nennt. Auslieferungshaftbefehle sind ausreichend zu begründen, so dass der Inhaftierte sein Beschwerde- recht gemäss Art. 48 Abs. 2 IRSG wirksam wahrnehmen kann (vgl. Art. 29 Abs. 2 BV, Art. 31 Abs. 2 BV und Art. 6 Ziff. 2 EMRK; Urteil des Bundesge- richts 1C_416/2017 vom 30. August 2017 E. 1.3.1 mit Hinweis auf BGE 111 Ib 147 E. 3 S. 149). Der hier angefochtene Auslieferungshaftbefehl ist ledig- lich rudimentär begründet und äussert sich zu den konkreten Haftgründen</w:t>
      </w:r>
    </w:p>
    <w:p>
      <w:r>
        <w:t>- 7 -</w:t>
      </w:r>
    </w:p>
    <w:p>
      <w:r>
        <w:t>nicht. Mangels einer hinreichenden Begründung ist eine Gehörsverletzung zu bejahen. Dier Beschwerdegegner liess sich im Rahmen des vorliegenden Beschwerdeverfahrens vernehmen und gab an, dass die Auslieferungshaft wegen der drohenden Fluchtgefahr angeordnet worden sei und begründete den Haftgrund eingehend (act. 3, Ziff. IV.3). Hierzu hätte der Beschwerde- führer Stellung nehmen können (act. 2). Unter diesen Umständen ist die Ge- hörverletzung als geheilt zu betrachten (vgl. TPF 2008 172 E. 2.3 m.w.H), weshalb von einer Aufhebung des Entscheids und Rückweisung zum erneu- ten Entscheid an den Beschwerdegegner abzusehen ist. Indes ist der Ge- hörsverletzung bei der Festsetzung der Gerichtsgebühr Rechnung zu tragen (TPF 2008 172 E. 6 und 7).</w:t>
      </w:r>
    </w:p>
    <w:p>
      <w:r>
        <w:rPr>
          <w:b/>
        </w:rPr>
        <w:t>E. 4.5</w:t>
      </w:r>
    </w:p>
    <w:p>
      <w:r>
        <w:t>Nachdem die ukrainischen Behörden die von der Schweiz verlangten Garan- tien vollumfänglich abgegeben haben (act. 3.8), sind zum gegenwärtigen Zeitpunkt keine Anhaltspunkte ersichtlich, die darauf deuten würden, dass eine Auslieferung des Beschwerdeführers an die Ukraine offensichtlich un- zulässig wäre.</w:t>
      </w:r>
    </w:p>
    <w:p>
      <w:r>
        <w:rPr>
          <w:b/>
        </w:rPr>
        <w:t>E. 5</w:t>
      </w:r>
    </w:p>
    <w:p>
      <w:r>
        <w:t>Stichhaltige Gründe, weshalb sich die angeordnete Auslieferungshaft als un- zulässig oder als unverhältnismässig erweisen würde, werden weder vom Beschwerdeführer geltend gemacht noch sind solche den Akten zu entneh- men. Die Beschwerde erweist sich nach dem Gesagten als unbegründet, weshalb sie abzuweisen ist.</w:t>
      </w:r>
    </w:p>
    <w:p>
      <w:r>
        <w:rPr>
          <w:b/>
        </w:rPr>
        <w:t>E. 6.1</w:t>
      </w:r>
    </w:p>
    <w:p>
      <w:r>
        <w:t>Bei diesem Ausgang des Verfahrens hätte der Beschwerdeführer die Ge- richtskosten zu tragen. Mit Eingabe vom 8. Januar 2019 ersuchte er um un- entgeltliche Rechtspflege und Verbeiständung (RP.2019.1, act. 1).</w:t>
      </w:r>
    </w:p>
    <w:p>
      <w:r>
        <w:rPr>
          <w:b/>
        </w:rPr>
        <w:t>E. 6.2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t>- 8 -</w:t>
      </w:r>
    </w:p>
    <w:p>
      <w:r>
        <w:rPr>
          <w:b/>
        </w:rPr>
        <w:t>E. 6.3</w:t>
      </w:r>
    </w:p>
    <w:p>
      <w:r>
        <w:t>Anhand des oben Ausgeführten erwies sich die Beschwerde offensichtlich als aussichtslos im Sinne von Art. 65 Abs. 1 VwVG. Demzufolge ist das Ge- such des Beschwerdeführers um unentgeltliche Rechtspflege und Verbei- ständung bereits aus diesem Grund abzuweisen. Im Übrigen kam der Be- schwerdeführer der Aufforderung, dem Gericht seine finanzielle Situation darzulegen, innert der angesetzten Frist nicht nach, weshalb das Gesuch auch aus diesem Grund abzuweisen wäre.</w:t>
      </w:r>
    </w:p>
    <w:p>
      <w:r>
        <w:rPr>
          <w:b/>
        </w:rPr>
        <w:t>E. 6.4</w:t>
      </w:r>
    </w:p>
    <w:p>
      <w:r>
        <w:t>Bei diesem Ausgang des Verfahrens sind die Gerichtskosten dem Be- schwerdeführer aufzuerlegen (Art. 63 Abs. 1 VwVG). Die Gerichtsgebühr ist unter der Berücksichtigung der oben festgestellten Gehörsverletzung (vgl. E. 4.4 hiervor) auf Fr. 800.-- festzusetzen (Art. 63 Abs. 5 VwVG und Art. 73 StBOG sowie Art. 5 und 8 Abs. 3 lit. a des Reglements des Bundesstrafge- richts vom 31. August 2010 über die Kosten, Gebühren und Entschädigun- 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