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RH.2018.8 vom 23. Mai 2018</w:t>
      </w:r>
    </w:p>
    <w:p>
      <w:r>
        <w:t>Bundesstrafgericht, 2018-05-23, DE</w:t>
      </w:r>
    </w:p>
    <w:p>
      <w:r>
        <w:rPr>
          <w:b/>
        </w:rPr>
        <w:t xml:space="preserve">Quelle: </w:t>
      </w:r>
      <w:r>
        <w:t>https://mcp.opencaselaw.ch/entscheid/bstger_RH.2018.8</w:t>
      </w:r>
    </w:p>
    <w:p>
      <w:r>
        <w:t>FR: TPF RH.2018.8 du 23 mai 2018</w:t>
      </w:r>
    </w:p>
    <w:p>
      <w:r>
        <w:t>IT: TPF RH.2018.8 del 23 maggio 2018</w:t>
      </w:r>
    </w:p>
    <w:p>
      <w:pPr>
        <w:pStyle w:val="Heading2"/>
      </w:pPr>
      <w:r>
        <w:t>Regeste</w:t>
      </w:r>
    </w:p>
    <w:p>
      <w:r>
        <w:t>Auslieferung an Ungarn. Auslieferungshaftbefehl (Art. 48 Abs. 2 IRSG).</w:t>
      </w:r>
    </w:p>
    <w:p>
      <w:pPr>
        <w:pStyle w:val="Heading2"/>
      </w:pPr>
      <w:r>
        <w:t>Erwägungen</w:t>
      </w:r>
    </w:p>
    <w:p>
      <w:r>
        <w:rPr>
          <w:b/>
        </w:rPr>
        <w:t>E. 1.1</w:t>
      </w:r>
    </w:p>
    <w:p>
      <w:r>
        <w:t>Für den Auslieferungsverkehr zwischen der Schweiz und Ungarn sind primär das Europäische Auslieferungsübereinkommen vom 13. Dezember 1957 (EAUe; SR 0.353.1) sowie das zu diesem Übereinkommen am 15. Oktober 1975 ergangene erste Zusatzprotokoll (1. ZP; SR 0.353.11) und das am 17. März 1978 ergangene zweite Zusatzprotokoll (2. ZP; SR 0.353.12) mas- sgebend. Überdies sind für die Auslieferung zwischen der Schweiz und Un- garn die Bestimmungen der Art. 59 ff. des Übereinkommens vom 19. Juni 1990 zur Durchführung des Übereinkommens von Schengen vom 14. Juni 1985 (Schengener Durchführungsübereinkommen, SDÜ; ABl. L 239 vom 22. September 2000, S. 19-62) zwecks Ergänzung und Erleichterung der An- wendung des EAUe massgebend.</w:t>
      </w:r>
    </w:p>
    <w:p>
      <w:r>
        <w:rPr>
          <w:b/>
        </w:rPr>
        <w:t>E. 1.2</w:t>
      </w:r>
    </w:p>
    <w:p>
      <w:r>
        <w:t>Soweit die einleitend genannten Staatsverträge bestimmte Fragen nicht ab- schliessend regeln, findet auf das Auslieferungsverfahren ausschliesslich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Das inner- staatliche Recht gelangt nach dem Günstigkeitsprinzip auch dann zur An- wendung, wenn dieses geringere Anforderungen an die Auslieferung stellt (BGE 142 IV 250 E. 3; 140 IV 123 E. 2 S. 126; 137 IV 33, E. 2.2.2; 136 IV 82, E. 3.1; 129 II 462 E. 1.1; 122 II 140 E. 2). Das Günstigkeitsprinzip gilt auch innerhalb der massgebenden internationalen Rechtsquellen (vgl. Art. 59 SDÜ). Vorbehalten bleibt die Wahrung der Menschenrechte (BGE 135 IV 212 E. 2.3; 123 II 595 E. 7c, je m.w.H.).</w:t>
      </w:r>
    </w:p>
    <w:p>
      <w:r>
        <w:t>- 4 -</w:t>
      </w:r>
    </w:p>
    <w:p>
      <w:r>
        <w:rPr>
          <w:b/>
        </w:rPr>
        <w:t>E. 2.1</w:t>
      </w:r>
    </w:p>
    <w:p>
      <w:r>
        <w:t>Gegen den Auslieferungshaftbefehl des BJ kann der Verfolgte innert zehn Tagen ab der schriftlichen Eröffnung Beschwerde bei der Beschwerdekam- mer des Bundesstrafgerichts führen. Für das Beschwerdeverfahren gelten die Art. 379–397 StPO sinngemäss (Art. 48 Abs. 2 i.V.m. Art. 47 IRSG). Im Übrigen gelten die allgemeinen Bestimmungen des IRSG und des Bundes- gesetzes vom 20. Dezember 1968 über das Verwaltungsverfahren (Verwal- tungsverfahrensgesetz, VwVG; SR 172.021; vgl. Art. 39 Abs. 2 lit. b i.V.m. Art. 37 Abs. 2 lit. a Ziff. 1 StBOG).</w:t>
      </w:r>
    </w:p>
    <w:p>
      <w:r>
        <w:rPr>
          <w:b/>
        </w:rPr>
        <w:t>E. 2.2</w:t>
      </w:r>
    </w:p>
    <w:p>
      <w:r>
        <w:t>Der angefochtene Auslieferungshaftbefehl wurde der Beschwerdeführerin am 2. Mai 2018 eröffnet (act. 3.5). Ihre am 8. Mai 2018 erhobene Be- schwerde (act. 1) erweist sich als fristgerecht. Die übrigen Eintretensvoraus- setzungen geben keinen Anlass zu weiteren Bemerkungen. Auf die Be- schwerde ist demnach einzutreten.</w:t>
      </w:r>
    </w:p>
    <w:p>
      <w:r>
        <w:rPr>
          <w:b/>
        </w:rPr>
        <w:t>E. 3</w:t>
      </w:r>
    </w:p>
    <w:p>
      <w:r>
        <w:t>Die Beschwerdekammer ist nicht an die Begehren der Parteien gebunden (Art. 25 Abs. 6 IRSG). Sie prüft die Auslieferungshaftvoraussetzungen grundsätzlich mit freier Kognition. Die Beschwerdekammer befasst sich je- doch nur mit Tat- und Rechtsfragen, die Streitgegenstand der Beschwerde bilden (Entscheide des Bundesstrafgerichts RR.2009.2 vom 9. Juli 2009 E. 2.4; RR.2007.34 vom 29. März 2007 E. 3, je m.w.H.).</w:t>
      </w:r>
    </w:p>
    <w:p>
      <w:r>
        <w:t>Nach der bundesgerichtlichen Rechtsprechung muss sich die urteilende In- stanz sodann nicht mit allen Parteistandpunkten einlässlich auseinanderset- zen und jedes einzelne Vorbringen ausdrücklich widerlegen. Sie kann sich auf die für ihren Entscheid wesentlichen Punkte beschränken. Es genügt, wenn die Behörde wenigstens kurz die Überlegungen nennt, von denen sie sich leiten liess und auf welche sich ihr Entscheid stützt (BGE 124 II 146 E. 2a; 122 IV 8 E. 2c; Urteil des Bundesgerichts 1A.59/2004 vom 16. Juli 2004 E. 5.2, m.w.H.).</w:t>
      </w:r>
    </w:p>
    <w:p>
      <w:r>
        <w:rPr>
          <w:b/>
        </w:rPr>
        <w:t>E. 4</w:t>
      </w:r>
    </w:p>
    <w:p>
      <w:r>
        <w:t>Die Verhaftung des Verfolgten während des ganzen Auslieferungsverfah- rens bildet die Regel (BGE 136 IV 20 E. 2.2 S. 23; 130 II 306 E. 2.2 S. 309). Eine Aufhebung des Auslieferungshaftbefehls sowie eine Haftentlassung rechtfertigen sich nur ausnahmsweise und unter strengen Voraussetzungen, wenn der Verfolgte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andere Gründe vorliegen, welche eine</w:t>
      </w:r>
    </w:p>
    <w:p>
      <w:r>
        <w:t>- 5 -</w:t>
      </w:r>
    </w:p>
    <w:p>
      <w:r>
        <w:t>weniger einschneidende Massnahme rechtfertigen (Art. 47 Abs. 2 IRSG), o- der wenn sich die Auslieferung als offensichtlich unzulässig erweist (Art. 51 Abs. 1 IRSG). Diese Aufzählung ist nicht abschliessend (BGE 130 II 306 E. 2.1; 117 IV 359 E. 2a S. 361; vgl. zum Ganzen zuletzt u. a. die Entscheide des Bundesstrafgerichts RH.2016.10 vom 6. September 2016 E. 2; RH.2016.7 vom 2. August 2016 E. 4.2).</w:t>
      </w:r>
    </w:p>
    <w:p>
      <w:r>
        <w:t>Offensichtlich unzulässig kann ein Auslieferungsersuchen sein, wenn ohne jeden Zweifel und ohne weitere Abklärungen ein Ausschlussgrund vorliegt (vgl. BGE 111 IV 108 E. 3a). Im Übrigen sind Vorbringen gegen die Auslie- ferung als solche oder gegen die Begründetheit des Auslieferungsbegehrens nicht im vorliegenden Beschwerdeverfahren, sondern im eigentlichen Aus- lieferungsverfahren zu prüfen (vgl. LAURENT MOREILLON / MICHEL DUPUIS / MIRIAM MAZOU, La pratique judiciaire du Tribunal pénal fédéral, in Journal des Tribunaux 2009 IV 111 Nr. 190 und 2008 IV 66 Nr. 322 je m.w.H. auf die Rechtsprechung).</w:t>
      </w:r>
    </w:p>
    <w:p>
      <w:r>
        <w:t>Die ausnahmsweise zu gewährende Haftentlassung ist an strengere Voraus- setzungen gebunden als der Verzicht auf die gewöhnliche Untersuchungs- haft in einem Strafverfahren oder die Entlassung aus einer solchen. Diese Regelung soll es der Schweiz ermöglichen, ihren staatsvertraglichen Auslie- ferungspflichten nachzukommen (vgl. BGE 130 II 306 E. 2.2 und 2.3; 111 IV 108 E. 2; Entscheid des Bundesstrafgerichts RH.2015.14 vom 9. Juli 2015 E. 4.1).</w:t>
      </w:r>
    </w:p>
    <w:p>
      <w:r>
        <w:rPr>
          <w:b/>
        </w:rPr>
        <w:t>E. 5.1</w:t>
      </w:r>
    </w:p>
    <w:p>
      <w:r>
        <w:t>Gegen den Auslieferungshaftbefehl bringt die Beschwerdeführerin in einem ersten Punkt vor, im ungarischen Strafverfahren seien prozessuale Fehler begangen worden. Diese Verfahrensfehler würden gegen die Verfassung und die EMRK, insbesondere das Recht auf ein faires Verfahren gemäss Art. 6 EMRK verstossen. Es werde auch nirgends belegt, dass die gesetzli- chen Haftvoraussetzungen vorliegen würden (act. 1 S. 3).</w:t>
      </w:r>
    </w:p>
    <w:p>
      <w:r>
        <w:rPr>
          <w:b/>
        </w:rPr>
        <w:t>E. 5.2</w:t>
      </w:r>
    </w:p>
    <w:p>
      <w:r>
        <w:t>Zur Stütze ihrer Rüge reicht die Beschwerdeführerin auf Ungarisch verfasste Schreiben des ungarischen Rechtsvertreters der Beschwerdeführerin ein. Welche Verfahrensfehler genau geltend gemacht werden, legt die Be- schwerdeführerin allerdings weder in der Beschwerde dar noch weist sie sie mit den vorstehenden Beilagen nach. Dass ohne jeden Zweifel und ohne weitere Abklärungen ein Ausschlussgrund vorliegen würde, ist bereits vor diesem Hintergrund nicht auszumachen. Wie vorstehend erläutert, sind im</w:t>
      </w:r>
    </w:p>
    <w:p>
      <w:r>
        <w:t>- 6 -</w:t>
      </w:r>
    </w:p>
    <w:p>
      <w:r>
        <w:t>Übrigen Vorbringen gegen die Auslieferung als solche oder gegen die Be- gründetheit des Auslieferungsersuchens nicht im vorliegenden Beschwerde- verfahren, sondern im eigentlichen Auslieferungsverfahren zu prüfen (s.o.). Die Beschwerde erweist sich in diesem Punkt als unbegründet.</w:t>
      </w:r>
    </w:p>
    <w:p>
      <w:r>
        <w:rPr>
          <w:b/>
        </w:rPr>
        <w:t>E. 6.1</w:t>
      </w:r>
    </w:p>
    <w:p>
      <w:r>
        <w:t>Die Beschwerdeführerin rügt in einem zweiten Punkt, dass das ungarische Ersuchen vom 27. April 2018 die Vorgaben von Art. 28 IRSG nicht erfülle. Die Sachverhaltsdarstellung sei ungenügend, weil weder konkrete Zeit- punkte und Orte der angeblichen Delikte noch Namen von Zeugen genannt würden (act. 1 S. 3).</w:t>
      </w:r>
    </w:p>
    <w:p>
      <w:r>
        <w:rPr>
          <w:b/>
        </w:rPr>
        <w:t>E. 6.2</w:t>
      </w:r>
    </w:p>
    <w:p>
      <w:r>
        <w:t>Gemäss Art. 16 Ziff. 2 EAUe hat das Ersuchen um vorläufige Verhaftung Angaben über die strafbare Handlung sowie Zeit und Ort ihrer Begehung und, soweit möglich, die Beschreibung der gesuchten Person zu enthalten. Im Ersuchen um vorläufige Verhaftung ist auch anzuführen, dass eine der in Art. 12 Ziff. 2 lit. a EAUe erwähnten Urkunden vorhanden ist und die Absicht besteht, ein Auslieferungsersuchen zu stellen (Art. 16 Ziff. 2 EAUe). Dabei handelt es sich um die Urschrift oder eine beglaubigte Abschrift eines voll- streckbaren verurteilenden Erkenntnisses, eines Haftbefehls oder jeder an- deren, nach den Formvorschriften des ersuchenden Staates ausgestellten Urkunde mit gleicher Rechtswirkung. Das Ersuchen und die dazugehörigen Unterlagen sind dem Verfolgten und seinem Rechtsbeistand vorzulegen (Art. 52 Abs. 1 IRSG). Die Bestimmungen sollen einerseits der ersuchten Behörde namentlich die Feststellung ermöglichen, ob Gründe vorliegen, die der Anordnung bzw. der Aufrechterhaltung der Auslieferungshaft offensicht- lich entgegenstehen, und andererseits den Betroffenen in die Lage verset- zen, sich mit der Beschwerde gegen seine Verhaftung zu wehren (Entscheid des Bundesstrafgerichts RR.2008.288 vom 2. Dezember 2008 E. 4.2, mit weiteren Hinweisen).</w:t>
      </w:r>
    </w:p>
    <w:p>
      <w:r>
        <w:t>Die vorläufige Auslieferungshaft kann aufgehoben werden, wenn das Aus- lieferungsersuchen und die in Art. 12 EAUe erwähnten Unterlagen dem er- suchten Staat nicht innerhalb von 18 Tagen nach der Verhaftung vorliegen. Auf keinen Fall darf sie 40 Tage vom Zeitpunkt der Verhaftung an über- schreiten (Art. 16 Ziff. 4 EAUe; vgl. auch Art. 50 Abs. 1 IRSG).</w:t>
      </w:r>
    </w:p>
    <w:p>
      <w:r>
        <w:rPr>
          <w:b/>
        </w:rPr>
        <w:t>E. 6.3</w:t>
      </w:r>
    </w:p>
    <w:p>
      <w:r>
        <w:t>Das formelle Auslieferungsersuchen ging vorliegend innert Frist ein (act. 3.6). Der SIS-Ausschreibung zufolge soll die Beschwerdeführerin die ihr vorgeworfenen Taten zwischen 2014 und 2017 in Ungarn unter anderem zu Lasten der ungarischen Gesellschaft B. begangen haben (act. 3.2). Die Sachverhaltsdarstellung im Verhaftsersuchen enthält insofern die gemäss</w:t>
      </w:r>
    </w:p>
    <w:p>
      <w:r>
        <w:t>- 7 -</w:t>
      </w:r>
    </w:p>
    <w:p>
      <w:r>
        <w:t>Art. 16 Ziff. 2 EAUe erforderlichen Angaben über die strafbare Handlung so- wie Zeit und Ort ihrer Begehung. Entgegen der Annahme der Beschwerde- führerin ist demgegenüber die ersuchende Behörde nicht gehalten, ihre Be- weismittel zu bezeichnen. Eine offensichtlich unzulässige Auslieferung hat die Beschwerdeführerin mit ihrer Kritik an der Sachverhaltsdarstellung nicht dargetan. Ihre Beschwerde erweist sich daher auch in diesem Punkt als un- begründet.</w:t>
      </w:r>
    </w:p>
    <w:p>
      <w:r>
        <w:rPr>
          <w:b/>
        </w:rPr>
        <w:t>E. 7</w:t>
      </w:r>
    </w:p>
    <w:p>
      <w:r>
        <w:t>Andere Gründe, welche eine Auslieferung offensichtlich auszuschliessen o- der sonst zu einer Aufhebung der Auslieferungshaft zu führen vermöchten, werden weder geltend gemacht noch sind solche ersichtlich. Die Be- schwerde erweist sich zusammenfassend als unbegründet.</w:t>
      </w:r>
    </w:p>
    <w:p>
      <w:r>
        <w:rPr>
          <w:b/>
        </w:rPr>
        <w:t>E. 8</w:t>
      </w:r>
    </w:p>
    <w:p>
      <w:r>
        <w:t>Die Beschwerdeführerin stellt das Gesuch um Gewährung der unentgeltli- chen Prozessführung und Verbeiständung (RP.2018.27, act. 1).</w:t>
      </w:r>
    </w:p>
    <w:p>
      <w:r>
        <w:rPr>
          <w:b/>
        </w:rPr>
        <w:t>E. 8.1</w:t>
      </w:r>
    </w:p>
    <w:p>
      <w:r>
        <w:t>Die Beschwerdekammer befreit eine Partei, die nicht über die erforderlichen Mittel verfügt, auf Antrag von den Verfahrenskosten, sofern ihr Begehren nicht aussichtslos erscheint, und bestellt ihr einen Anwalt, wenn es zur Wah- rung ihrer Rechte notwendig ist (Art. 65 Abs. 1 und 2 VwVG i.V.m. Art. 39 Abs. 2 lit. b StBOG).</w:t>
      </w:r>
    </w:p>
    <w:p>
      <w:r>
        <w:t>Gemäss bundesgerichtlicher Rechtsprechung sind Prozessbegehren als aussichtslos anzusehen, wenn die Gewinnaussichten beträchtlich geringer erscheinen als die Verlustgefahren und sie deshalb kaum als ernsthaft be- zeichnet werden können. Dagegen gilt ein Begehren nicht als aussichtslos, wenn sich Gewinnaussichten und Verlustgefahren ungefähr die Waage hal- ten oder jene nur wenig geringer sind als diese. Massgebend ist, ob eine Partei, die über die nötigen finanziellen Mittel verfügt, sich bei vernünftiger Überlegung zu einem Prozess entschliessen würde. Ob im Einzelfall genü- gende Erfolgsaussichten bestehen, beurteilt sich nach den Verhältnissen zur Zeit, zu der das Gesuch um unentgeltliche Rechtspflege gestellt wird (BGE 129 I 129 E. 2.3.1; 128 I 225 E. 2.5.3; 124 I 304 E. 2c).</w:t>
      </w:r>
    </w:p>
    <w:p>
      <w:r>
        <w:rPr>
          <w:b/>
        </w:rPr>
        <w:t>E. 8.2</w:t>
      </w:r>
    </w:p>
    <w:p>
      <w:r>
        <w:t>Den vorstehenden Erwägungen (E. 5 ff.) ist zu entnehmen, dass die Be- schwerde offensichtlich unbegründet war und demgemäss keine Aussicht auf Erfolg hatte. Das Gesuch um Gewährung der unentgeltlichen Prozess- führung und Verbeiständung ist folglich aus diesem Grund abzuweisen.</w:t>
      </w:r>
    </w:p>
    <w:p>
      <w:r>
        <w:t>- 8 -</w:t>
      </w:r>
    </w:p>
    <w:p>
      <w:r>
        <w:rPr>
          <w:b/>
        </w:rPr>
        <w:t>E. 9</w:t>
      </w:r>
    </w:p>
    <w:p>
      <w:r>
        <w:t>Bei diesem Ausgang des Verfahrens sind die Gerichtskosten der Beschwer- deführerin aufzuerlegen (Art. 63 Abs. 1 VwVG). Die Gerichtsgebühr ist auf Fr. 1'500.-- festzusetzen (Art. 63 Abs. 5 VwVG und Art. 73 StBOG sowie Art. 5 und 8 Abs. 3 lit. a des Reglements des Bundesstrafgerichts vom 31. August 2010 über die Kosten, Gebühren und Entschädigungen in Bun- 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