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RH.2018.6 vom 18. Mai 2018</w:t>
      </w:r>
    </w:p>
    <w:p>
      <w:r>
        <w:t>Bundesstrafgericht, 2018-05-18, FR</w:t>
      </w:r>
    </w:p>
    <w:p>
      <w:r>
        <w:rPr>
          <w:b/>
        </w:rPr>
        <w:t xml:space="preserve">Quelle: </w:t>
      </w:r>
      <w:r>
        <w:t>https://mcp.opencaselaw.ch/entscheid/bstger_RH.2018.6</w:t>
      </w:r>
    </w:p>
    <w:p>
      <w:r>
        <w:t>FR: TPF RH.2018.6 du 18 mai 2018</w:t>
      </w:r>
    </w:p>
    <w:p>
      <w:r>
        <w:t>IT: TPF RH.2018.6 del 18 maggio 2018</w:t>
      </w:r>
    </w:p>
    <w:p>
      <w:pPr>
        <w:pStyle w:val="Heading2"/>
      </w:pPr>
      <w:r>
        <w:t>Regeste</w:t>
      </w:r>
    </w:p>
    <w:p>
      <w:r>
        <w:t>Extradition au Portugal. Mandat d'arrêt en vue d'extradition (art. 48 al. 2 EIMP). Assistance judiciaire (art. 65 PA).</w:t>
      </w:r>
    </w:p>
    <w:p>
      <w:pPr>
        <w:pStyle w:val="Heading2"/>
      </w:pPr>
      <w:r>
        <w:t>Erwägungen</w:t>
      </w:r>
    </w:p>
    <w:p>
      <w:r>
        <w:rPr>
          <w:b/>
        </w:rPr>
        <w:t>E. 1.1</w:t>
      </w:r>
    </w:p>
    <w:p>
      <w:r>
        <w:t>Les procédures d’extradition entre la Suisse et le Portugal sont prioritaire- 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L’EIMP et son ordonnance d’exécution (OEIMP; RS 351.11) règlent les questions qui ne sont pas ré- gies, explicitement ou implicitement par les traités et lorsqu’il est plus favo- rable à l’octroi de l’extradition que ces derniers (ATF 142 IV 250 consid. 3; 140 IV 123 consid. 2; 137 IV 33 consid. 2.2.2). L’application de la norme la plus favorable (principe dit « de faveur ») doit avoir lieu dans le respect des droits fondamentaux (ATF 135 IV 212 consid. 2.3).</w:t>
      </w:r>
    </w:p>
    <w:p>
      <w:r>
        <w:rPr>
          <w:b/>
        </w:rPr>
        <w:t>E. 1.2</w:t>
      </w:r>
    </w:p>
    <w:p>
      <w:r>
        <w:t>En vertu de l’art. 27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 Adressé par la personne visée dans les dix jours à comp- ter de la notification du mandat d’arrêt (art. 48 al. 2 EIMP), le recours est formellement recevable.</w:t>
      </w:r>
    </w:p>
    <w:p>
      <w:r>
        <w:rPr>
          <w:b/>
        </w:rPr>
        <w:t>E. 2</w:t>
      </w:r>
    </w:p>
    <w:p>
      <w:r>
        <w:t>Le recourant se plaint d’une violation de l’art. 47 al. 1 let. a EIMP. Il invoque en substance l’absence de risque de fuite – respectivement le fait que des mesures de substitution seraient propres à réduire suffisamment celui-ci –, le fait qu’il réside depuis 10 ans en Suisse avec sa femme et leur fils, dispose d’un travail stable, et n’a plus de contact au Portugal (act. 1, p. 9).</w:t>
      </w:r>
    </w:p>
    <w:p>
      <w:r>
        <w:rPr>
          <w:b/>
        </w:rPr>
        <w:t>E. 2.1.1</w:t>
      </w:r>
    </w:p>
    <w:p>
      <w:r>
        <w:t>Saisie d’un recours fondé sur l’art. 48 al. 2 EIMP, la Cour des plaintes n’a pas, à ce stade de la procédure, à se prononcer sur le bien-fondé de la de- 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 tance, l’OFJ puis, sur recours, le Tribunal pénal fédéral et le Tribunal fédéral en dernière instance, aux conditions prévues à l’art. 84 de la loi fédérale du</w:t>
      </w:r>
    </w:p>
    <w:p>
      <w:r>
        <w:t>- 4 -</w:t>
      </w:r>
    </w:p>
    <w:p>
      <w:r>
        <w:t>17 juin 2005 sur le Tribunal fédéral (LTF; RS 173.110). Selon la jurispru- dence constante, la détention est la règle, tandis que la mise en liberté de- meure l’exception (ATF 130 II 306 consid. 2.4), cette dernière étant au de- meurant soumise à des exigences plus strictes en matière de détention ex- traditionnelle que de détention provisoire prononcée dans le cadre d’une pro- cédure pénale nationale (ATF 130 II 306 consid. 2.2; 111 IV 108 consid. 2; 109 Ib 223 consid. 2c; arrêt du Tribunal fédéral 1A.148/2004 du 21 juin 2004 consid. 2.2). 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 vie, en cas d’admission d’une demande d’extradition, à l’Etat qui en a fait la demande (; ATF 111 IV 108 consid. 2; arrêt du Tribunal fédéral G.31/1995 du 21 juin 1995 consid. 1).</w:t>
      </w:r>
    </w:p>
    <w:p>
      <w:r>
        <w:rPr>
          <w:b/>
        </w:rPr>
        <w:t>E. 2.1.2</w:t>
      </w:r>
    </w:p>
    <w:p>
      <w:r>
        <w:t>Le recourant est un ressortissant portugais âgé de 49 ans. Il vit en Suisse depuis une dizaine d’années avec sa femme et son fils, lequel effectue un apprentissage. Jusqu’à son arrestation, il travaillait pour l’agence de place- ment B.. Son frère et sa sœur vivent également en Suisse mais sa mère est restée au Portugal. Selon le recourant, la majorité de ses proches vit en Suisse et il n’a plus de contact au Portugal. Il n’aurait de plus aucune attache dans un pays tiers vers lequel il serait susceptible de fuir afin de se soustraire à la justice portugaise. Sa femme et son fils se retrouveraient dans une si- tuation financière précaire si le recourant ne pouvait plus continuer de sub- venir à leur besoins. Enfin, sa situation financière obérée l’empêcherait de s’enfuir (act. 1 et 4). Selon l’OFJ, la condamnation du recourant au Portugal à une peine privative de liberté de quatre ans est une lourde peine, de sorte que la durée du séjour du recourant en Suisse, respectivement la présence de sa famille dans ce pays ne sont pas suffisants pour exclure un risque de fuite (act. 3, p. 3).</w:t>
      </w:r>
    </w:p>
    <w:p>
      <w:r>
        <w:rPr>
          <w:b/>
        </w:rPr>
        <w:t>E. 2.1.3</w:t>
      </w:r>
    </w:p>
    <w:p>
      <w:r>
        <w:t>En l’espèce, la peine de quatre ans à laquelle a été condamné le recourant doit être considérée comme lourde. La durée du séjour en Suisse de 10 ans de l’intéressé n’est pas encore suffisamment longue pour admettre un an- crage solide voire définitif dans ce pays. De plus, même s’il est actif profes- sionnellement, le recourant ne dispose pas d’un travail régulier dès lors qu’il n’était engagé que pour des missions temporaires par l’entreprise B.</w:t>
      </w:r>
    </w:p>
    <w:p>
      <w:r>
        <w:t>- 5 -</w:t>
      </w:r>
    </w:p>
    <w:p>
      <w:r>
        <w:t>(act. 4.3). La femme du recourant, quant à elle, travaille à 50% et réalise un revenu de l’ordre de CHF 1'900.-- par mois, et touche en sus des indemnités de chômage à hauteur de CHF 1'400.-- par mois. Même si de tels revenus peuvent être qualifiés de faibles et que, suite à l’incarcération de son mari, elle est dans un état anxieux, l’on ne saurait considérer qu’elle se retrouve complètement démunie à tel point de ne pouvoir, le cas échéant, contribuer à financer la fuite de l’extradable. Les deux enfants du recourant sont ma- jeurs (nés en 1993 et 1998). Il n’a dès lors plus la responsabilité accrue du père de famille de jeunes enfants, critère qui pourrait être de nature à réduire le risque de fuite. La présence de sa propre famille dans ce pays, respecti- vement l’absence de liens avec un autre pays ou encore le fait de ne perce- voir que de faibles revenus, ne sont pas, en soi, des éléments suffisants pour exclure un risque de fuite face à une peine d’une telle importance. Par con- séquent, au vu de la jurisprudence précitée (supra, consid. 2.1.1), force est dès lors de conclure à l’existence d’un risque de fuite du recourant au cas où celui-ci serait remis en liberté.</w:t>
      </w:r>
    </w:p>
    <w:p>
      <w:r>
        <w:rPr>
          <w:b/>
        </w:rPr>
        <w:t>E. 2.2.1</w:t>
      </w:r>
    </w:p>
    <w:p>
      <w:r>
        <w:t>S’il y a danger de fuite, la personne poursuivie peut être astreinte au verse- ment d’une somme d’argent afin de garantir sa présence (art. 238 al. 1 du Code de procédure pénale [CPP; RS 312], applicable par renvoi de l’art. 50 al. 4 EIMP). Le montant des sûretés dépend de la gravité des actes repro- chés au prévenu et de sa situation personnelle (art. 238 al. 2 CPP). L’impor- tance de la garantie doit être appréciée au regard des ressources du pré- 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 sid. 2.2).</w:t>
      </w:r>
    </w:p>
    <w:p>
      <w:r>
        <w:rPr>
          <w:b/>
        </w:rPr>
        <w:t>E. 2.2.2</w:t>
      </w:r>
    </w:p>
    <w:p>
      <w:r>
        <w:t>En matière extraditionnelle, la jurisprudence est très restrictive quand il s’agit d’apprécier les mesures substitutives à la détention aptes à contenir le risque de fuite. Aux fins de l’apprécier, différents critères doivent être pris en consi- 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 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w:t>
      </w:r>
    </w:p>
    <w:p>
      <w:r>
        <w:t>- 6 -</w:t>
      </w:r>
    </w:p>
    <w:p>
      <w:r>
        <w:t>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 déral non publié G.69/1996 du 8 août 1996 consid. 8b). En revanche, la li- berté provisoire a été refusée à un citoyen italien établi en Suisse depuis 18 ans, père de deux filles de 8 et 3 ans et marié à une Suissesse; l’escro- querie à hauteur de DM 18 mios laissait présager une privation de liberté de longue durée (arrêt du Tribunal fédéral 8G.45/2001 du 15 août 2001 con- sid. 3a). Il en a été de même d’un homme de 32 ans, père de deux enfants de 2 et 7 ans, en raison de la lourde peine le menaçant (arrêt du Tribunal pénal fédéral BH.2005.45 du 22 décembre 2005 consid. 2.2.2). Il en est allé de même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 ration provisoire d’un citoyen italien établi en Suisse depuis un an avec sa famille, malgré l’offre d’une caution de CHF 15'000.-- (ATF 130 II 306).</w:t>
      </w:r>
    </w:p>
    <w:p>
      <w:r>
        <w:rPr>
          <w:b/>
        </w:rPr>
        <w:t>E. 2.2.3</w:t>
      </w:r>
    </w:p>
    <w:p>
      <w:r>
        <w:t>Le recourant indique, pour la première fois dans sa réplique, qu’il serait prêt à déposer ses papiers d’identité et se soumettre à une interdiction de quitter la Suisse, de même qu’à une obligation d’avoir un travail stable et de se présenter régulièrement à la police de Sion. Il accepterait de surcroît le port du bracelet électronique et son entourage se serait mobilisé pour réunir la somme de CHF 20'000.--, afin de fournir une caution attestant de sa bonne foi (act. 4, p. 5).</w:t>
      </w:r>
    </w:p>
    <w:p>
      <w:r>
        <w:rPr>
          <w:b/>
        </w:rPr>
        <w:t>E. 2.2.4</w:t>
      </w:r>
    </w:p>
    <w:p>
      <w:r>
        <w:t>En l’espèce, le risque de fuite n’est pas susceptible d’être notablement réduit par les mesures de substitution évoquées. La surveillance électronique – complémentaire au dépôt d’une caution suffisante, condition qui n’est pas remplie au vu des CHF 20'000.-- proposés par le recourant dans sa réplique, quand bien même le recourant semble ne disposer que de moyens relative- ment modestes – ne permet en effet pas à elle seule d’éviter la fuite de la personne munie de ce dispositif mais uniquement de la constater (cf. arrêts du Tribunal pénal fédéral RH.2015.18 du 25 août 2015 consid. 6, RR.2011.133 du 29 juin 2011 consid. 3.4.2 et RR.2009.321 du 11 novembre 209 consid. 3.3). Des attaches à la Suisse, même alliées à des mesures de substitution ne sont pas toujours suffisantes pour parer au risque de fuite (arrêts du Tribunal fédéral 8G.45/2001 du 15 août 2001 consid. 3a; 8G.66/2000 du 5 décembre 2000 consid. 9c; G.69/1996 du 8 août 1996 con- sid. 8b; arrêts du Tribunal pénal fédéral RR.2009.329 du 24 novembre 2009</w:t>
      </w:r>
    </w:p>
    <w:p>
      <w:r>
        <w:t>- 7 -</w:t>
      </w:r>
    </w:p>
    <w:p>
      <w:r>
        <w:t>consid. 6.6.6; BH.2005.45 du 20 décembre 2005 consid. 2.2.2; BH.2005.8 du 7 avril 2005 consid. 2.3). L’obligation de se rendre régulièrement dans un poste de police assortie du dépôt des papiers d’identité n’est pas non plus de nature à réduire suffisamment le risque de fuite, bien qu’elle la complique. Les contrôles aux frontières suisses ne sont en effet pas systématiques, de sorte que de telles mesures ne sont pas propres à exclure le risque que le recourant puisse se soustraire à l’extradition. Enfin, la Cour de céans ne voit pas, compte tenu de l’ensemble des considérations qui précèdent, qu’il exis- terait en l’occurrence d’autres mesures de substitution propres à réduire dans une mesure suffisante le risque de fuite.</w:t>
      </w:r>
    </w:p>
    <w:p>
      <w:r>
        <w:rPr>
          <w:b/>
        </w:rPr>
        <w:t>E. 3</w:t>
      </w:r>
    </w:p>
    <w:p>
      <w:r>
        <w:t>Le recours, mal fondé, doit dès lors être rejeté.</w:t>
      </w:r>
    </w:p>
    <w:p>
      <w:r>
        <w:rPr>
          <w:b/>
        </w:rPr>
        <w:t>E. 4</w:t>
      </w:r>
    </w:p>
    <w:p>
      <w:r>
        <w:t>Le recourant sollicite l’octroi de l’assistance judiciaire. Après le dépôt du re- cours, la partie qui ne dispose pas de ressources suffisantes et dont les con- 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In casu, les conclusions sont vouées à l’échec. Les motifs fournis à l’appui du recours se sont en effet avérés manifestement infondés eu égard à la jurisprudence constante en la matière. L’assistance judiciaire doit partant être refusée.</w:t>
      </w:r>
    </w:p>
    <w:p>
      <w:r>
        <w:rPr>
          <w:b/>
        </w:rPr>
        <w:t>E. 5</w:t>
      </w:r>
    </w:p>
    <w:p>
      <w:r>
        <w:t>Les frais de procédure sont mis à charge du recourant qui succombe (art. 63 al. 1 PA). L’émolument judiciaire, calculé conformément aux art. 5 et 8 al. 3 du règlement du 31 août 2010 sur les frais, émoluments, dépens et indem- nités de la procédure pénale fédéral (RFPPF; RS 173.713.162; v. art. 63 al. 5 PA) sera fixé, compte tenu de la situation financière du recourant,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