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RH.2018.5 vom 18. April 2018</w:t>
      </w:r>
    </w:p>
    <w:p>
      <w:r>
        <w:t>Bundesstrafgericht, 2018-04-18, DE</w:t>
      </w:r>
    </w:p>
    <w:p>
      <w:r>
        <w:rPr>
          <w:b/>
        </w:rPr>
        <w:t xml:space="preserve">Quelle: </w:t>
      </w:r>
      <w:r>
        <w:t>https://mcp.opencaselaw.ch/entscheid/bstger_RH.2018.5</w:t>
      </w:r>
    </w:p>
    <w:p>
      <w:r>
        <w:t>FR: TPF RH.2018.5 du 18 avril 2018</w:t>
      </w:r>
    </w:p>
    <w:p>
      <w:r>
        <w:t>IT: TPF RH.2018.5 del 18 aprile 2018</w:t>
      </w:r>
    </w:p>
    <w:p>
      <w:pPr>
        <w:pStyle w:val="Heading2"/>
      </w:pPr>
      <w:r>
        <w:t>Regeste</w:t>
      </w:r>
    </w:p>
    <w:p>
      <w:r>
        <w:t>Auslieferung an Frankreich. Auslieferungshaftbefehl (Art. 48 Abs. 2 IRSG). Unentgeltliche Rechtspflege (Art. 65 VwVG).</w:t>
      </w:r>
    </w:p>
    <w:p>
      <w:pPr>
        <w:pStyle w:val="Heading2"/>
      </w:pPr>
      <w:r>
        <w:t>Erwägungen</w:t>
      </w:r>
    </w:p>
    <w:p>
      <w:r>
        <w:rPr>
          <w:b/>
        </w:rPr>
        <w:t>E. 1.1</w:t>
      </w:r>
    </w:p>
    <w:p>
      <w:r>
        <w:t>Für den Auslieferungsverkehr zwischen der Schweiz und Frankreich sind pri- mär das Europäische Auslieferungsübereinkommen vom 13. Dezember 1957 (EAUe; SR 0.353.1) sowie das Abkommen vom 10. Februar 2003 zwi- schen dem Schweizerischen Bundesrat und der Regierung der Französi- schen Republik über das vereinfachte Auslieferungsverfahren und über die Ergänzung des EAUe (SR 0.353.934.92) massgebend. Ausserdem gelan- gen die Bestimmungen der Art. 59 ff. des Übereinkommens vom 19. Juni 1990 zur Durchführung des Übereinkommens von Schengen vom 14. Juni 1985 (Schengener Durchführungsübereinkommen, SDÜ; Abl. L239 vom 22. September 2000, S. 19–62) zur Anwendung (BGE 136 IV 88 E. 3.1; Ent- scheid des Bundesstrafgerichts RR.2008.296 vom 17. Dezember 2008 E. 1.3).</w:t>
      </w:r>
    </w:p>
    <w:p>
      <w:r>
        <w:rPr>
          <w:b/>
        </w:rPr>
        <w:t>E. 1.2</w:t>
      </w:r>
    </w:p>
    <w:p>
      <w:r>
        <w:t>Soweit diese Staatsverträge bestimmte Fragen nicht abschliessend regeln, findet auf das Verfahren der Auslieferung und der vorläufigen Auslieferungs- haft ausschliesslich das Recht des ersuchten Staates Anwendung (Art. 22 EAUe), namentlich das Bundesgesetz vom 20. März 1981 (Rechtshilfege- setz, IRSG; SR 351.1) und die Verordnung vom 24. Februar 1982 über in- ternationale Rechtshilfe in Strafsachen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2016 65 E. 1.2; TPF 2008 24 E. 1.1).</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Beschwerdeführer selbst führt aus, ihm sei der angefochtene Ausliefe- rungshaftbefehl am 26. März 2018 persönlich eröffnet worden (act. 1 S. 2). Soweit aktenkundig wurde ihm der angefochtene Auslieferungshaftbefehl am 27. März 2018 schriftlich eröffnet (act. 5.9). Seine am 29. März 2018 er- hobene Beschwerde erweist sich jedenfalls als fristgerecht. Die übrigen Ein- tretensvoraussetzungen geben keinen Anlass zu weiteren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rPr>
          <w:b/>
        </w:rPr>
        <w:t>E. 4.1</w:t>
      </w:r>
    </w:p>
    <w:p>
      <w:r>
        <w:t>Der Beschwerdeführer macht zunächst im Wesentlichen geltend, er werde derzeit umgeschult. Die Umschulung erfolge vom 23. Januar 2018 bis 31. Ja- nuar 2019. Er lebe zusammen mit seiner Ehegattin und den drei gemeinsa- men Kindern in Basel. Er habe anlässlich seiner persönlichen Befragung am 27. März 2018 zu Protokoll gegeben, dass er ohne Weiteres die in Frankreich ausgesprochene Freiheitsstrafe vollziehen lassen möchte, dass der jetzige</w:t>
      </w:r>
    </w:p>
    <w:p>
      <w:r>
        <w:t>- 5 -</w:t>
      </w:r>
    </w:p>
    <w:p>
      <w:r>
        <w:t>Zeitpunkt allerdings aufgrund der in Gang gesetzten Umschulung äusserst ungünstig sei. Es seien keinerlei Anzeichen erkennbar, weshalb er sich der in die Wege geleiteten Umschulung nunmehr durch Flucht entziehen solle (act. 1 S. 4 f., act. 3, 10 S. 1 f.).</w:t>
      </w:r>
    </w:p>
    <w:p>
      <w:r>
        <w:rPr>
          <w:b/>
        </w:rPr>
        <w:t>E. 4.2</w:t>
      </w:r>
    </w:p>
    <w:p>
      <w:r>
        <w:t>Die Rechtsprechung ist hinsichtlich der Verneinung von Fluchtgefahr über- aus restriktiv und misst der Erfüllung der staatsvertraglichen Auslieferungs- pflichten im Vergleich zu den Interessen des Verfolgten ausserordentlich grosses Gewicht bei. Die Voraussetzungen für die ausnahmsweise Freilas- sung des Verfolgten aus der Auslieferungshaft werden in der Praxis selten bejaht (BGE 136 IV 20 E. 2.2; 130 II 306 E. 2.4 f.; je m.w.H.).</w:t>
      </w:r>
    </w:p>
    <w:p>
      <w:r>
        <w:rPr>
          <w:b/>
        </w:rPr>
        <w:t>E. 4.3</w:t>
      </w:r>
    </w:p>
    <w:p>
      <w:r>
        <w:t>Die ausgesprochene Freiheitsstrafe, zu deren Vollzug um Auslieferung des Beschwerdeführers ersucht wird, ist mit zwei Jahren und sechs Monaten zwar nicht besonders hoch, zumal gemäss SIS-Ausschreibung bzw. Auslie- ferungsersuchen davon nur noch ein Jahr, acht Monate und 23 Tage zu voll- ziehen sind (act. 5.1, 5.2). Aus den Akten geht allerdings hervor, dass der Beschwerdeführer der Urteilsverkündung vom 22. November 2016 fern blieb, obwohl der Termin anlässlich der Verhandlung vom 27. September 2016 festgesetzt wurde, an der der Beschwerdeführer anwesend war (act. 5.2). Anlässlich der Einvernahme vom 27. März 2018 gab er selbst an, am Appellationsgericht vorgesprochen zu haben (act. 5.7). Zudem ist der Beschwerdeführer mit 33 Jahren noch vergleichsweise jung, was eine Flucht eher als wahrscheinlich erscheinen lässt als bei jemandem in fortgeschritte- nem Alter (vgl. hierzu u.a. BGE 136 IV 20 E. 2.3; Entscheid des Bundesstraf- gerichts BH.2006.4 vom 21. März 2006; je m.w.H.). Vor diesem Hintergrund und in Anbetracht der Rechtsprechung ist auch unter Berücksichtigung der geltend gemachten Umstände, insbesondere dass sich der Beschwerdefüh- rer zurzeit umschult und mit seiner Ehegattin und den drei gemeinsamen Kindern in Basel wohnt, von hoher Fluchtgefahr auszugehen.</w:t>
      </w:r>
    </w:p>
    <w:p>
      <w:r>
        <w:rPr>
          <w:b/>
        </w:rPr>
        <w:t>E. 5</w:t>
      </w:r>
    </w:p>
    <w:p>
      <w:r>
        <w:t>Weiter macht der Beschwerdeführer geltend, gestützt auf Art. 37 IRSG sei die Auslieferung abzulehnen, da eine solche im Hinblick auf die soziale Wie- dereingliederung nicht verhältnismässig erscheine (act. 1 S. 4, 5). Ausser- dem stehe eine Auslieferung des Beschwerdeführers gestützt auf das vorlie- gende Auslieferungsersuchen nicht im Einklang mit Art. 38 Abs. 1 lit. b IRSG bzw. Art. 5 EMRK, weil sich dieses auf den Vollzug einer Reststrafe von 20 Monaten und 23 Tagen beziehe, obwohl angesichts der Dauer der Untersu- chungshaft lediglich noch eine zu vollziehende Reststrafe von 13 Monate und 22 Tagen bestehe (act. 10 S. 2 f.). Dabei handelt es sich um Einwände zur Auslieferungssache. Einwände des Verfolgten gegen eine Auslieferung</w:t>
      </w:r>
    </w:p>
    <w:p>
      <w:r>
        <w:t>- 6 -</w:t>
      </w:r>
    </w:p>
    <w:p>
      <w:r>
        <w:t>als solche bzw. gegen die Begründetheit des Auslieferungsbegehrens sind im Haftbeschwerdeverfahren grundsätzlich nicht zu hören (vgl. BGE 111 Ib 147 E. 4; 111 IV 108 E. 3a). Einzig die offensichtliche Unzulässigkeit der Auslieferung könnte in diesem Zusammenhang einen materiell-rechtlichen Haftentlassungsgrund bilden (Art. 51 Abs. 1 IRSG; vgl. BGE 111 IV 108 E. 3a; Urteil des Bundesgerichts 1A.37/2007 vom 30. März 2007 E. 3; Ent- scheid des Bundesstrafgerichts RH.2018.1 vom 13. Februar 2018 E. 3 m.w.H.). Offensichtlich unzulässig kann ein Auslieferungsersuchen sein, wenn ohne jeden Zweifel und ohne weitere Abklärungen ein Ausschluss- grund vorliegt (BGE 111 IV 108 E. 3a; vgl. zuletzt u.a. Entscheid des Bun- desstrafgerichts RH.2018.1 vom 13. Februar 2018 E. 3). Was der Beschwer- deführer vorbringt, lässt die Auslieferung klar nicht als offensichtlich unzu- lässig erscheinen. Der angerufene Art. 37 Abs. 1 IRSG findet keine Anwen- dung gegenüber einem Staat, der – wie Frankreich – Vertragspartei des EAUe ist (BGE 129 II 100 E. 3.1; 122 II 485 E. 3; vgl. zuletzt u.a. Entscheid des Bundesstrafgerichts RR.2017.163 vom 5. Oktober 2017 E. 6 m.w.H.). Ist im Hoheitsgebiet des ersuchenden Staates eine Verurteilung zu einer Strafe erfolgt, so wird gemäss Art. 2 Ziff. 1 Satz 2 EAUe ausgeliefert, wenn das Mass der Strafe mindestens vier Monate beträgt. Massgebend ist die aus- gesprochene Strafe, nicht die Dauer des noch zu verbüssenden Strafrestes. Gegenüber einem Staat, mit dem die Schweiz durch das EAUe verbunden ist, kann die Auslieferung zudem nicht mit Hinweis auf die Geringfügigkeit des Strafrestes abgelehnt werden (BGE 112 Ib 59 E. 2a; Urteil des Bundes- gerichts 1A.159/2003 vom 15. September 2003 E. 6.2 m.w.H.; TPF 2011 89 E. 3.1; Entscheide des Bundesstrafgerichts RR.2016.26 vom 15. März 2016 E. 3.1; RR.2015.117 vom 13. August 2015 E. 9.2). Im Übrigen bestehen keine konkreten Anhaltspunkte dafür, dass das französische Strafverfahren nicht die internationalen Menschenrechts- und Verfahrensgarantien respek- tiert. Selbst wenn der diesbezügliche Vorwurf des Beschwerdeführer, es drohe ihm Überhaft, zuträfe, so hat er nicht behauptet, es sei ihm verwehrt, damit vor ein unabhängiges, unparteiisches und auf Gesetz beruhendes französisches Gericht zu gelangen. Es ist in ständiger Rechtsprechung viel- mehr davon auszugehen, dass die Vertragsstaaten der EMRK, wie die Schweiz und Frankreich es sind, auch die entsprechenden Garantien einhal- ten und damit ein faires Strafverfahren gewährleisten (vgl. zuletzt u.a. Urteile des Bundesgerichts 1C_328/2017 vom 15. Juni 2017 E. 1.3, 1C_9/2015 vom</w:t>
      </w:r>
    </w:p>
    <w:p>
      <w:r>
        <w:rPr>
          <w:b/>
        </w:rPr>
        <w:t>E. 8</w:t>
      </w:r>
    </w:p>
    <w:p>
      <w:r>
        <w:t>Andere Gründe, welche eine Auslieferung offensichtlich auszuschliessen oder sonst zu einer Aufhebung der Auslieferungshaft zu führen vermöchten,</w:t>
      </w:r>
    </w:p>
    <w:p>
      <w:r>
        <w:t>- 8 -</w:t>
      </w:r>
    </w:p>
    <w:p>
      <w:r>
        <w:t>werden weder geltend gemacht noch sind solche ersichtlich. Die Be- schwerde erweist sich zusammenfassend als unbegründet, weshalb sie ab- zuweisen ist.</w:t>
      </w:r>
    </w:p>
    <w:p>
      <w:r>
        <w:rPr>
          <w:b/>
        </w:rPr>
        <w:t>E. 9.1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9.2</w:t>
      </w:r>
    </w:p>
    <w:p>
      <w:r>
        <w:t>Vorliegend erwies sich die Beschwerde offensichtlich als aussichtslos im Sinne von Art. 65 Abs. 1 VwVG. Demzufolge ist das Gesuch des Beschwer- deführers um unentgeltliche Rechtspflege und Verbeiständung ohne Über- prüfung von dessen finanzieller Situation abzuweisen. Überdies fehlt es nach Eingang der Kautionsrückzahlung von über EUR 10'000.– mutmasslich am Erfordernis der Bedürftigkeit (act. 1.6). Bei der Festsetzung der Spruchge- bühr kann gemäss Art. 63 Abs. 4bis VwVG der finanziellen Situation des Be- schwerdeführers Rechnung getragen werden.</w:t>
      </w:r>
    </w:p>
    <w:p>
      <w:r>
        <w:rPr>
          <w:b/>
        </w:rPr>
        <w:t>E. 10</w:t>
      </w:r>
    </w:p>
    <w:p>
      <w:r>
        <w:t>Bei diesem Ausgang des Verfahrens sind die Gerichtskosten dem Be- schwerdeführer aufzuerlegen (Art. 63 Abs. 1 VwVG). Die Gerichtsgebühr ist auf Fr. 1'500.– festzusetzen (Art. 63 Abs. 5 VwVG und Art. 73 StBOG sowie Art. 5 und Art.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