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RH.2018.4 vom 13. März 2018</w:t>
      </w:r>
    </w:p>
    <w:p>
      <w:r>
        <w:t>Bundesstrafgericht, 2018-03-13, DE</w:t>
      </w:r>
    </w:p>
    <w:p>
      <w:r>
        <w:rPr>
          <w:b/>
        </w:rPr>
        <w:t xml:space="preserve">Quelle: </w:t>
      </w:r>
      <w:r>
        <w:t>https://mcp.opencaselaw.ch/entscheid/bstger_RH.2018.4</w:t>
      </w:r>
    </w:p>
    <w:p>
      <w:r>
        <w:t>FR: TPF RH.2018.4 du 13 mars 2018</w:t>
      </w:r>
    </w:p>
    <w:p>
      <w:r>
        <w:t>IT: TPF RH.2018.4 del 13 marzo 2018</w:t>
      </w:r>
    </w:p>
    <w:p>
      <w:pPr>
        <w:pStyle w:val="Heading2"/>
      </w:pPr>
      <w:r>
        <w:t>Regeste</w:t>
      </w:r>
    </w:p>
    <w:p>
      <w:r>
        <w:t>Auslieferung an Mazedonien. Auslieferungshaftbefehl (Art. 48 Abs. 2 IRSG).</w:t>
      </w:r>
    </w:p>
    <w:p>
      <w:pPr>
        <w:pStyle w:val="Heading2"/>
      </w:pPr>
      <w:r>
        <w:t>Erwägungen</w:t>
      </w:r>
    </w:p>
    <w:p>
      <w:r>
        <w:rPr>
          <w:b/>
        </w:rPr>
        <w:t>E. 1.1</w:t>
      </w:r>
    </w:p>
    <w:p>
      <w:r>
        <w:t>Für den Auslieferungsverkehr zwischen der Schweiz und Mazedonien sind primär massgebend das Europäische Auslieferungsübereinkommen vom 13. Dezember 1957 (EAUe; SR 0.353.1), dem beide Staaten beigetreten sind, sowie das zu diesem Übereinkommen am 15. Oktober 1975 ergangene erste Zusatzprotokoll (1. ZP; SR 0.353.11), das am 17. März 1978 ergan- gene zweite Zusatzprotokoll (2. ZP; SR 0.353.12) sowie das am 10. Novem- ber 2010 ergangene dritte Zusatzprotokoll (3. ZP; SR 0.353.13).</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La coopération judiciaire internationale en matière pénale, 4. Aufl. 2014, N. 229). Vorbehalten bleibt die Wahrung der Menschenrechte (BGE 139 II 65 E. 5.4 letzter Absatz; 135 IV 212 E. 2.3; 123 II 595 E. 7c; Urteil des Bun- desgerichts 1C_274/2015 vom 12. August 2015 E. 6.1; ZIMMERMANN, a.a.O., N. 211 ff., 223 ff., 681 ff.).</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Beschwerdeführer ist legitimiert, den gegen ihn erlassenen Ausliefe- rungshaftbefehl anzufechten. Auf die auch innert Frist eingereichte Be- schwerde ist damit einzutreten.</w:t>
      </w:r>
    </w:p>
    <w:p>
      <w:r>
        <w:rPr>
          <w:b/>
        </w:rPr>
        <w:t>E. 3.1</w:t>
      </w:r>
    </w:p>
    <w:p>
      <w:r>
        <w:t>Die Verhaftung des Beschuldigten während des ganzen Auslieferungsver- fahrens bildet die Regel (Art. 47 Abs. 1 Satz 1 IRSG; BGE 136 IV 20 E. 2.2; 130 II 306 E. 2.2). Eine Aufhebung des Auslieferungshaftbefehls sowie eine Haftentlassung rechtfertigen sich nur ausnahmsweise, wenn der Beschul- digte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wenn sich die Auslieferung als offensichtlich un- zulässig erweist (Art. 51 Abs. 1 IRSG; vgl. auch FORSTER, Basler Kommen- tar, Internationales Strafrecht, 2015, Art. 47 IRSG N. 5, 6). Offensichtlich un- zulässig kann ein Auslieferungsersuchen sein, wenn ohne jeden Zweifel und ohne weitere Abklärungen ein Ausschlussgrund vorliegt (vgl. BGE 111 IV 108 E. 3a). Diese Aufzählung ist nicht abschliessend (BGE 130 II 306 E. 2.1; 117 IV 359 E. 2a S. 361).</w:t>
      </w:r>
    </w:p>
    <w:p>
      <w:r>
        <w:rPr>
          <w:b/>
        </w:rPr>
        <w:t>E. 3.2</w:t>
      </w:r>
    </w:p>
    <w:p>
      <w:r>
        <w:t>Der Beschwerdeführer bringt vor, aufgrund seiner Konvertierung vom Islam zum Christentum in Mazedonien am Leben gefährdet zu sein. Seine Familie habe sich nicht nur von ihm abgewandt, sie bedrohe ihn. Aufgrund dieser Umstände sei er in psychologischer Betreuung im UPD Bern gewesen. Auch habe er Antrag auf Asyl gestellt. Er sei bereit, die Gefängnisstrafe hier in der Schweiz zu verbüssen (act. 1).</w:t>
      </w:r>
    </w:p>
    <w:p>
      <w:r>
        <w:rPr>
          <w:b/>
        </w:rPr>
        <w:t>E. 3.3</w:t>
      </w:r>
    </w:p>
    <w:p>
      <w:r>
        <w:t>Der Auslieferungsentscheid des BJ vom 28. April 2017 ist rechtskräftig und damit vollziehbar geworden. Die Vorbringen des Beschwerdeführers gegen den Auslieferungshaftbefehl richten sich inhaltlich gegen die Auslieferung selbst. Die Beschwerdekammer hatte sich mit ihnen bereits im Entscheid vom 25. Juli 2017 auseinandergesetzt (RR.2017.127 E. 5, insbes. E. 5.6) und entschieden, dass sie einer Auslieferung nicht entgegenstehen. Daran hat sich auch heute nichts geändert und es kann darauf verwiesen werden. Sodann hat auch das Bundesgericht die Abweisung seines Asylantrages mit Blick auf seine Konvertierung geprüft und bestätigt (Urteil 1C_354/2017 vom 10. August 2017 E. 3.3). Die vom BJ angeordnete Auslieferungshaft er- scheint zur Sicherstellung der Auslieferung erforderlich und verhältnismäs- sig. Die dagegen erhobenen Rügen gehen offensichtlich fehl. Die Be- schwerde ist damit abzuweisen.</w:t>
      </w:r>
    </w:p>
    <w:p>
      <w:r>
        <w:rPr>
          <w:b/>
        </w:rPr>
        <w:t>E. 4</w:t>
      </w:r>
    </w:p>
    <w:p>
      <w:r>
        <w:t>Bei diesem Ausgang des Verfahrens sind die Gerichtskosten dem Be- schwerdeführer aufzuerlegen (vgl. Art. 63 Abs. 1 VwVG). Die aufgrund der finanziellen Verhältnisse des Beschwerdeführers reduzierte Gerichtsgebühr (RR.2017.127 E. 9) ist auf Fr. 500.-- festzusetzen (vgl. Art. 63 Abs. 5 VwVG</w:t>
      </w:r>
    </w:p>
    <w:p>
      <w:r>
        <w:t>i.V.m. Art. 73 StBOG sowie Art. 5 und 8 Abs. 3 lit. a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