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RH.2018.2 vom 13. Februar 2018</w:t>
      </w:r>
    </w:p>
    <w:p>
      <w:r>
        <w:t>Bundesstrafgericht, 2018-02-13, DE</w:t>
      </w:r>
    </w:p>
    <w:p>
      <w:r>
        <w:rPr>
          <w:b/>
        </w:rPr>
        <w:t xml:space="preserve">Quelle: </w:t>
      </w:r>
      <w:r>
        <w:t>https://mcp.opencaselaw.ch/entscheid/bstger_RH.2018.2</w:t>
      </w:r>
    </w:p>
    <w:p>
      <w:r>
        <w:t>FR: TPF RH.2018.2 du 13 février 2018</w:t>
      </w:r>
    </w:p>
    <w:p>
      <w:r>
        <w:t>IT: TPF RH.2018.2 del 13 febbraio 2018</w:t>
      </w:r>
    </w:p>
    <w:p>
      <w:pPr>
        <w:pStyle w:val="Heading2"/>
      </w:pPr>
      <w:r>
        <w:t>Regeste</w:t>
      </w:r>
    </w:p>
    <w:p>
      <w:r>
        <w:t>Auslieferung an Italien. Auslieferungshaftbefehl (Art. 48 Abs. 2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sowie das hierzu ergangene zweite Zusatzprotokoll vom 17. März 1978 (ZPII EAUe; SR 0.353.12), welchen beide Staaten beigetre- ten sind, massgebend. Ausserdem gelangen die Bestimmungen der Art. 59 ff. des Übereinkommens vom 19. Juni 1990 zur Durchführung des Überein- kommens von Schengen vom 14. Juni 1985 (Schengener Durchführungs- übereinkommen, SDÜ; Abl. L239 vom 22. September 2000, S. 19–62) zur Anwendung (BGE 136 IV 88 E. 3.1 S. 89).</w:t>
      </w:r>
    </w:p>
    <w:p>
      <w:r>
        <w:rPr>
          <w:b/>
        </w:rPr>
        <w:t>E. 1.2</w:t>
      </w:r>
    </w:p>
    <w:p>
      <w:r>
        <w:t>Soweit diese Staatsverträge bestimmte Fragen nicht abschliessend regeln, findet auf das Verfahren der Auslieferung und der vorläufigen Auslieferungs- haft ausschliesslich das Recht des ersuchten Staates Anwendung (Art. 22 EAUe), vorliegend also das Bundesgesetz vom 20. März 1981 (Rechtshilfe- gesetz, IRSG; SR 351.1) und die Verordnung vom 24. Februar 1982 über internationale Rechtshilfe in Strafsachen (Rechtshilfeverordnung, IRSV; SR 351.11). Das innerstaatliche Recht gelangt nach dem Günstigkeitsprinzip auch dann zur Anwendung, wenn dieses geringere Anforderungen an die Auslieferung stellt (BGE 142 IV 250 E. 3; 140 IV 123 E. 2 S. 126; 122 II 140 E. 2 S. 142). Vorbehalten bleibt die Wahrung der Menschenrechte (BGE 135 IV 212 E. 2.3; 123 II 595 E. 7c S. 617; TPF 2016 65 E. 1.2).</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angefochtene Auslieferungshaftbefehl wurde dem Beschwerdeführer am 17. Januar 2018 schriftlich eröffnet (act. 3.5 S. 3). Seine am 29. Ja- nuar 2018 erhobene Beschwerde erweist sich als fristgerecht. Die übrigen Eintretensvoraussetzungen geben keinen Anlass zu weiteren Bemerkungen. Auf die Beschwerde ist demnach einzutreten.</w:t>
      </w:r>
    </w:p>
    <w:p>
      <w:r>
        <w:t>- 4 -</w:t>
      </w:r>
    </w:p>
    <w:p>
      <w:r>
        <w:rPr>
          <w:b/>
        </w:rPr>
        <w:t>E. 3</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 a. den Entscheid des Bundesstrafgerichts RH.2017.17 vom 2. Oktober 2017 E. 2).</w:t>
      </w:r>
    </w:p>
    <w:p>
      <w:r>
        <w:rPr>
          <w:b/>
        </w:rPr>
        <w:t>E. 4.1</w:t>
      </w:r>
    </w:p>
    <w:p>
      <w:r>
        <w:t>Der Beschwerdeführer bestreitet vorab den ihm gegenüber erhobenen Tat- vorwurf (act. 1, Rz. 19 und 22; vgl. auch act. 4.3 S. 2). Weiter macht er gel- tend, er habe keinerlei Motivation, sich einem allfälligen Verfahren durch Flucht zu entziehen (act. 1, Rz. 21; act. 4, Rz. 5). Schliesslich macht er gel- tend, die Auslieferungshaft sei unverhältnismässig, und er schlägt hierzu ver- schiedene Ersatzmassnahmen vor (act. 1, Rz. 23 ff.).</w:t>
      </w:r>
    </w:p>
    <w:p>
      <w:r>
        <w:rPr>
          <w:b/>
        </w:rPr>
        <w:t>E. 4.2</w:t>
      </w:r>
    </w:p>
    <w:p>
      <w:r>
        <w:t>Gemäss SIS-Ausschreibung erheben die italienischen Strafverfolgungsbe- hörden gegenüber dem Beschwerdeführer den Vorwurf, dieser sei am 25. Oktober 2015 in Y. (Italien) in ein Haus eingedrungen und habe dort eine schlafende Person mit einem Messer angegriffen, mit der Absicht diese zu töten (act. 3.1 S. 2). Dass der Beschwerdeführer bei der Tatbegehung an- geblich eine Gartenschere mitgeführt habe, findet nicht erst in den vom Be- schwerdeführer mit der Replik eingereichten Unterlagen, sondern bereits in der SIS-Ausschreibung Erwähnung (vgl. act. 3.1 S. 2). Mit der blossen Be- streitung der Tat im Rahmen der Beschwerde vermag der Beschwerdeführer keinen Nachweis zu erbringen, dass er zur Zeit der Tat nicht am Tatort war (Art. 47 Abs. 1 lit. b IRSG). Ebenso wenig erscheint deshalb oder wegen einer allfälligen Unklarheit hinsichtlich der verwendeten Tatwaffe die allfällige Auslieferung des Beschwerdeführers als offensichtlich unzulässig im Sinne von Art. 51 Abs. 1 IRSG.</w:t>
      </w:r>
    </w:p>
    <w:p>
      <w:r>
        <w:rPr>
          <w:b/>
        </w:rPr>
        <w:t>E. 4.3</w:t>
      </w:r>
    </w:p>
    <w:p>
      <w:r>
        <w:t>Der Beschwerdeführer bestreitet das Vorliegen von Fluchtgefahr. Vor kur- zem sei das erste gemeinsame Kind mit seiner Ehefrau zur Welt gekommen. Zudem gehe er hier einer Erwerbstätigkeit nach und er habe die Absicht, in</w:t>
      </w:r>
    </w:p>
    <w:p>
      <w:r>
        <w:t>- 5 -</w:t>
      </w:r>
    </w:p>
    <w:p>
      <w:r>
        <w:t>der Schweiz zu bleiben. Er verfüge auch nicht über die finanziellen Mittel, um sich mittels Flucht ins Ausland abzusetzen (act. 1, Rz. 21). Dem ist entge- genzuhalten, dass die Rechtsprechung des Bundesgerichts hinsichtlich der Verneinung von Fluchtgefahr (beispielsweise aus familiären Gründen) über- aus restriktiv ist und der Erfüllung der staatsvertraglichen Auslieferungs- pflichten im Vergleich zu den Interessen des Verfolgten ausserordentlich grosses Gewicht beimisst. Bei drohenden, hohen Freiheitsstrafen ist eine Fluchtgefahr gemäss der Rechtsprechung in der Regel trotz Niederlassungs- bewilligung und familiären Bindungen in der Schweiz gegeben (BGE 136 IV 20 E. 2.3; Urteil des Bundesgerichts 8G.45/2001 vom 15. August 2001 E. 3a). Vorliegend wiegt der dem Beschwerdeführer gegenüber erhobene Tatvorwurf schwer. Ihm droht eine Freiheitsstrafe von bis zu 14 Jahren (vgl. act. 3.1 S. 2). Dementsprechend ist auch in Anbetracht der angeführten Rechtsprechung von hoher Fluchtgefahr auszugehen.</w:t>
      </w:r>
    </w:p>
    <w:p>
      <w:r>
        <w:rPr>
          <w:b/>
        </w:rPr>
        <w:t>E. 4.4</w:t>
      </w:r>
    </w:p>
    <w:p>
      <w:r>
        <w:t>Die vom Beschwerdeführer erwähnten Ersatzmassnahmen vermögen diese Fluchtgefahr nicht zu beseitigen. Eine Ausweis- bzw. Schriftensperre ist vor- liegend praktisch wirkungslos, da die schweizerischen Behörden den tune- sischen Behörden nicht verbieten können, dem Beschwerdeführer allenfalls neue Schriften auszustellen (vgl. hierzu u. a. das Urteil des Bundesgerichts 1B_211/2017 vom 27. Juni 2017 E. 4). Auch eine relativ hohe Kaution kann erfahrungsgemäss eine Flucht kaum verhindern (BGE 136 IV 20 E. 3.1 S. 25 m.H.; Urteil des Bundesgerichts 8G.11/2003 vom 21. Februar 2003 E. 5). Zudem ist auch nicht nachvollziehbar, wie der Beschwerdeführer angesichts seiner angeblich bescheidenen finanziellen Situation eine hohe Kaution leis- ten will.</w:t>
      </w:r>
    </w:p>
    <w:p>
      <w:r>
        <w:rPr>
          <w:b/>
        </w:rPr>
        <w:t>E. 5</w:t>
      </w:r>
    </w:p>
    <w:p>
      <w:r>
        <w:t>Für eine gemäss Replik «höchstwahrscheinlich» nicht gegebene Hafterste- hungsfähigkeit (act. 4, Rz. 5) bestehen in den Akten keine Anhaltspunkte. Anlässlich seiner Einvernahme vom 11. Januar 2018 gab der Beschwerde- führer an, gesundheitlich gehe es ihm normal und er benötige keine Medika- mente (act. 3.4 S. 3).</w:t>
      </w:r>
    </w:p>
    <w:p>
      <w:r>
        <w:rPr>
          <w:b/>
        </w:rPr>
        <w:t>E. 6</w:t>
      </w:r>
    </w:p>
    <w:p>
      <w:r>
        <w:t>Stichhaltige Gründe, weshalb sich die vorliegend angeordnete Ausliefe- rungshaft als unzulässig oder als unverhältnismässig erweisen würde, wer- den vom Beschwerdeführer somit keine geltend gemacht. Den Akten können auch sonst keine solchen entnommen werden. Die Beschwerde erweist sich nach dem Gesagten als unbegründet, weshalb sie abzuweisen ist.</w:t>
      </w:r>
    </w:p>
    <w:p>
      <w:r>
        <w:t>- 6 -</w:t>
      </w:r>
    </w:p>
    <w:p>
      <w:r>
        <w:rPr>
          <w:b/>
        </w:rPr>
        <w:t>E. 7.1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7.2</w:t>
      </w:r>
    </w:p>
    <w:p>
      <w:r>
        <w:t>Anhand des oben Ausgeführten erwies sich die Beschwerde offensichtlich als aussichtslos im Sinne von Art. 65 Abs. 1 VwVG. Demzufolge ist das Ge- such des Beschwerdeführers um unentgeltliche Rechtspflege und Verbei- ständung ohne Überprüfung von dessen finanzieller Situation abzuweisen. Bei der Festsetzung der Spruchgebühr kann gemäss Art. 63 Abs. 4bis VwVG der womöglich schwierigen finanziellen Situation des Beschwerdeführers Rechnung getragen werden.</w:t>
      </w:r>
    </w:p>
    <w:p>
      <w:r>
        <w:rPr>
          <w:b/>
        </w:rPr>
        <w:t>E. 8</w:t>
      </w:r>
    </w:p>
    <w:p>
      <w:r>
        <w:t>Bei diesem Ausgang des Verfahrens sind die Gerichtskosten dem Be- schwerdeführer aufzuerlegen (Art. 63 Abs. 1 VwVG). Die Gerichtsgebühr ist auf Fr. 1'000.– festzusetzen (Art. 63 Abs. 5 VwVG und Art. 73 StBOG sowie Art. 5 und 8 Abs. 3 lit. a des Reglements des Bundesstrafgerichts vom 31. August 2010 über die Kosten, Gebühren und Entschädigungen in Bun- 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