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RH.2018.15 vom 6. Dezember 2018</w:t>
      </w:r>
    </w:p>
    <w:p>
      <w:r>
        <w:t>Bundesstrafgericht, 2018-12-06, DE</w:t>
      </w:r>
    </w:p>
    <w:p>
      <w:r>
        <w:rPr>
          <w:b/>
        </w:rPr>
        <w:t xml:space="preserve">Quelle: </w:t>
      </w:r>
      <w:r>
        <w:t>https://mcp.opencaselaw.ch/entscheid/bstger_RH.2018.15</w:t>
      </w:r>
    </w:p>
    <w:p>
      <w:r>
        <w:t>FR: TPF RH.2018.15 du 6 décembre 2018</w:t>
      </w:r>
    </w:p>
    <w:p>
      <w:r>
        <w:t>IT: TPF RH.2018.15 del 6 dicembre 2018</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w:t>
      </w:r>
    </w:p>
    <w:p>
      <w:r>
        <w:t>- 3 -</w:t>
      </w:r>
    </w:p>
    <w:p>
      <w:r>
        <w:t>EAUe; SR 0.353.13), der Vertrag vom 13. November 1969 zwischen der Schweizerischen Eidgenossenschaft und der Bundesrepublik Deutschland über die Ergänzung des EAUe und die Erleichterung seiner Anwendung (ZV EAUe; SR 0.353.913.61) sowie das Schengener Durchführungsüberein- kommen vom 14. Juni 1985 (SDÜ; ABl. L 239 vom 22. September 2000, S. 19-62) i.V.m. dem Beschluss des Rates über die Einrichtung, den Betrieb und die Nutzung des SIS der zweiten Generation (SIS II), namentlich Art. 26- 31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w:t>
      </w:r>
    </w:p>
    <w:p>
      <w:r>
        <w:t>Gegen den Auslieferungshaftbefehl des BJ kann der Verfolgte innert zehn Tagen ab der schriftlichen Eröffnung Beschwerde bei der Beschwerdekam- mer des Bundesstrafgerichts führen (Art. 48 Abs. 2 IRSG). Fristen, die durch eine Mitteilung oder den Eintritt eines Ereignisses ausgelöst werden, begin- nen am folgenden Tag zu laufen (Art. 90 Abs. 1 StPO). Eingaben müssen spätestens am letzten Tag der Frist bei der Strafbehörde abgegeben oder zu deren Handen der schweizerischen Post, einer schweizerischen diploma- tischen oder konsularischen Vertretung oder, im Falle von inhaftierten Per- sonen, der Anstaltsleitung übergeben werden (Art. 91 Abs. 2 StPO). Der Auslieferungshaftbefehl wurde dem Beschwerdeführer am 9. November 2018 ausgehändigt (act. 3.8). Die zehntägige Beschwerdefrist ist damit am 19. November 2018 abgelaufen. Gemäss Briefkopf wurde die Beschwerde erst am 20. November 2018 verfasst und am 21. November 2018 der Schweizerischen Post übergeben. Die Beschwerdefrist wurde damit nicht</w:t>
      </w:r>
    </w:p>
    <w:p>
      <w:r>
        <w:t>- 4 -</w:t>
      </w:r>
    </w:p>
    <w:p>
      <w:r>
        <w:t>gewahrt und die Beschwerde verspätet erhoben; dies auch für den Fall, dass der Brief unmittelbar nach Verfassen der Anstaltsleitung übermittelt worden wäre.</w:t>
      </w:r>
    </w:p>
    <w:p>
      <w:r>
        <w:rPr>
          <w:b/>
        </w:rPr>
        <w:t>E. 3</w:t>
      </w:r>
    </w:p>
    <w:p>
      <w:r>
        <w:t>Auf die verspätete eingereichte Beschwerde ist daher nicht einzutreten.</w:t>
      </w:r>
    </w:p>
    <w:p>
      <w:r>
        <w:rPr>
          <w:b/>
        </w:rPr>
        <w:t>E. 4</w:t>
      </w:r>
    </w:p>
    <w:p>
      <w:r>
        <w:t>Bei diesem Ausgang des Verfahrens sind die Gerichtskosten dem Be- schwerdeführer aufzuerlegen (Art. 63 Abs. 1 VwVG i.V.m. Art. 39 Abs. 2 lit. b StBOG). Die unter den vorliegenden Umständen zu erhebende Ge- richtsgebühr ist auf Fr. 200.-- festzusetzen (Art. 63 Abs. 5 VwVG i.V.m. Art. 39 Abs. 2 lit. b StBOG und Art. 73 StBOG sowie Art. 5 und 8 Abs. 3 lit. a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