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RH.2018.1 vom 13. Februar 2018</w:t>
      </w:r>
    </w:p>
    <w:p>
      <w:r>
        <w:t>Bundesstrafgericht, 2018-02-13, DE</w:t>
      </w:r>
    </w:p>
    <w:p>
      <w:r>
        <w:rPr>
          <w:b/>
        </w:rPr>
        <w:t xml:space="preserve">Quelle: </w:t>
      </w:r>
      <w:r>
        <w:t>https://mcp.opencaselaw.ch/entscheid/bstger_RH.2018.1</w:t>
      </w:r>
    </w:p>
    <w:p>
      <w:r>
        <w:t>FR: TPF RH.2018.1 du 13 février 2018</w:t>
      </w:r>
    </w:p>
    <w:p>
      <w:r>
        <w:t>IT: TPF RH.2018.1 del 13 febbraio 2018</w:t>
      </w:r>
    </w:p>
    <w:p>
      <w:pPr>
        <w:pStyle w:val="Heading2"/>
      </w:pPr>
      <w:r>
        <w:t>Regeste</w:t>
      </w:r>
    </w:p>
    <w:p>
      <w:r>
        <w:t>Auslieferung an Deutschland. Auslieferungshaftbefehl (Art. 48 Abs. 2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der Vertrag vom 13. November 1969 zwischen der Schweizerischen Eidgenossenschaft und der Bundesrepublik Deutschland über die Ergänzung des EAUe und die Erleichterung seiner Anwendung (ZV EAUe; SR 0.353.913.61) sowie das Schengener Durchführungsüberein- kommen vom 14. Juni 1985 (SDÜ; ABl. L 239 vom 22. September 2000, S. 19-62) i.V.m. dem Beschluss des Rates über die Einrichtung, den Betrieb und die Nutzung des SIS der zweiten Generation (SIS II), namentlich Art. 26- 31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Für das Beschwerdeverfahren gelten zudem die Art. 379-397 StPO sinngemäss (Art. 48 Abs. 2 i.V.m. Art. 47 IRSG) und die Bestimmungen des Bundesgesetzes vom 20. Dezem- ber 1968 über das Verwaltungsverfahren (Verwaltungsverfahrensgesetz, VwVG; SR 172.021; vgl. Art. 39 Abs. 2 lit. b i.V.m. Art. 37 Abs. 2 lit. a Ziff. 1 StBOG).</w:t>
      </w:r>
    </w:p>
    <w:p>
      <w:r>
        <w:rPr>
          <w:b/>
        </w:rPr>
        <w:t>E. 2</w:t>
      </w:r>
    </w:p>
    <w:p>
      <w:r>
        <w:t>Gegen den Auslieferungshaftbefehl des BJ kann der Verfolgte innert zehn Tagen ab der schriftlichen Eröffnung Beschwerde bei der Beschwerdekam- mer des Bundesstrafgerichts führen (Art. 48 Abs. 2 IRSG). Der Ausliefe- rungshaftbefehl wurde dem Beschwerdeführer am 15. Januar 2018 ausge- händigt (act. 9.2). Die bei der unzuständigen Behörde eingereichte Be- schwerde schadet dem Beschwerdeführer nicht (Art. 12 Abs. 1 IRSG i.V.m. Art. 21. Abs. 2 VwVG), sodass sich die am 25. Januar 2018 beim BJ erho- bene Beschwerde als fristgerecht erweist. Die übrigen Eintretens-</w:t>
      </w:r>
    </w:p>
    <w:p>
      <w:r>
        <w:t>- 4 -</w:t>
      </w:r>
    </w:p>
    <w:p>
      <w:r>
        <w:t>voraussetzungen geben keinen Anlass zu weiteren Bemerkungen. Auf die Beschwerde ist demnach einzutreten.</w:t>
      </w:r>
    </w:p>
    <w:p>
      <w:r>
        <w:rPr>
          <w:b/>
        </w:rPr>
        <w:t>E. 3</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RH.2016.10 vom 6. September 2016, E. 2; RH.2016.7 vom 2. August 2016, E. 4.2).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LAURENT MOREILLON / MICHEL DUPUIS / MIRIAM 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4.1</w:t>
      </w:r>
    </w:p>
    <w:p>
      <w:r>
        <w:t>Der Beschwerdeführer wendet ein, dass der Widerruf der bedingt ausge- sprochenen Freiheitsstrafe in seiner Abwesenheit erfolgt sei; er habe nie</w:t>
      </w:r>
    </w:p>
    <w:p>
      <w:r>
        <w:t>- 5 -</w:t>
      </w:r>
    </w:p>
    <w:p>
      <w:r>
        <w:t>eine Vorladung zur Verhandlung im Widerrufsverfahren erhalten. Es sei da- mit von einem Abwesenheitsurteil im Sinne von Art. 37 Abs. 2 IRSG auszu- gehen, bei welchem elementare Verfahrensrechte verletzt worden seien (act. 1 und act. 11).</w:t>
      </w:r>
    </w:p>
    <w:p>
      <w:r>
        <w:rPr>
          <w:b/>
        </w:rPr>
        <w:t>E. 4.2</w:t>
      </w:r>
    </w:p>
    <w:p>
      <w:r>
        <w:t>Der Beschwerdeführer verkennt, dass die Voraussetzungen und das Verfah- ren des Widerrufs der bedingten Entlassung sich nach dem Recht des ersu- chenden Staates richten, welches von der schweizerischen Rechtshilfebe- hörde grundsätzlich keiner Überprüfung zu unterziehen ist. Insbesondere ist nicht zu prüfen, ob im betreffenden deutschen Vollzugsverfahren allenfalls prozessuale Rechte des Beschwerdeführers nach deutscher StPO missach- tet worden sein könnten (vgl. hierzu das Urteil des Bundesgerichts 1A.287/2003 vom 23. Januar 2004, E. 3.2 und die Entscheide des Bun- desstrafgerichts RR.2017.257 vom 28. November 2017, E. 4.4; RR.2011.208 vom 8. November 2011, E. 5.2 m.w.H.). Darüber hinaus ist der angerufene Art. 37 Abs. 2 IRSG im vorliegenden Fall ohnehin nicht anwend- bar, da zu der darin geregelten Frage im Zweiten Zusatzprotokoll zum EAUe mit dessen Art. 3 eine staatsvertragliche Norm besteht, die Art. 37 Abs. 2 IRSG vorgeht (Art. 1 Abs. 1 IRSG). Nach Art. 3 ZPII EAUe kann der ersuchte Staat die Auslieferung einer Person zur Vollstreckung einer Strafe, die gegen sie in einem Abwesenheitsurteil verhängt worden ist, ablehnen, wenn nach seiner Auffassung in dem diesen Urteil vorangegangen Verfah- ren nicht die Mindestrechte der Verteidigung gewährt worden sind, die aner- kanntermassen jedem einer strafbaren Handlung Beschuldigten zustehen. Diese Bestimmung bezieht sich gemäss dessen klaren Wortlauts nur auf das dem Strafurteil vorangehende Verfahren, mithin nicht auf Widerrufsverfahren (vgl. die Entscheide des Bundesstrafgerichts RR.2017.257 vom 28. Novem- ber 2017, E. 4.3; RR.2016.264 vom 28. April 2017, E. 3.7; RR.2011.208 vom</w:t>
      </w:r>
    </w:p>
    <w:p>
      <w:r>
        <w:rPr>
          <w:b/>
        </w:rPr>
        <w:t>E. 8</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