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RH.2017.9 vom 17. August 2017</w:t>
      </w:r>
    </w:p>
    <w:p>
      <w:r>
        <w:t>Bundesstrafgericht, 2017-08-17, DE</w:t>
      </w:r>
    </w:p>
    <w:p>
      <w:r>
        <w:rPr>
          <w:b/>
        </w:rPr>
        <w:t xml:space="preserve">Quelle: </w:t>
      </w:r>
      <w:r>
        <w:t>https://mcp.opencaselaw.ch/entscheid/bstger_RH.2017.9</w:t>
      </w:r>
    </w:p>
    <w:p>
      <w:r>
        <w:t>FR: TPF RH.2017.9 du 17 août 2017</w:t>
      </w:r>
    </w:p>
    <w:p>
      <w:r>
        <w:t>IT: TPF RH.2017.9 del 17 agosto 2017</w:t>
      </w:r>
    </w:p>
    <w:p>
      <w:pPr>
        <w:pStyle w:val="Heading2"/>
      </w:pPr>
      <w:r>
        <w:t>Regeste</w:t>
      </w:r>
    </w:p>
    <w:p>
      <w:r>
        <w:t>Auslieferung an Italien. Auslieferungshaftbefehl (Art. 48 Abs. 2 IRSG). Aufschiebende Wirkung (Art. 21 Abs. 4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t>- 4 -</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 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Rechtsvertreter des Beschwerdeführers am 31. Juli 2017 schriftlich eröffnet (act. 1, S. 2). Seine gleichentags erhobene Beschwerde erweist sich damit als fristgerecht. Die übrigen Eintretensvoraussetzungen geben keinen Anlass zu weiteren Be- merkungen. Auf die Beschwerde ist demnach einzutreten.</w:t>
      </w:r>
    </w:p>
    <w:p>
      <w:r>
        <w:rPr>
          <w:b/>
        </w:rPr>
        <w:t>E. 2.3</w:t>
      </w:r>
    </w:p>
    <w:p>
      <w:r>
        <w:t>Gemäss Art. 33a Abs. 2 VwVG ist im Beschwerdeverfahren die Sprache des angefochtenen Entscheids massgebend. Verwenden die Parteien eine an- dere Amtssprache, so kann das Verfahren in dieser Sprache geführt werden. Der angefochtene Auslieferungshaftbefehl erfolgte in italienischer Sprache. Indes reichten die Parteien sämtliche Eingaben in Deutsch ein (act. 1, 3, 4). Ausserdem erfolgte sowohl das Auslieferungsverfahren vor dem Beschwer- degegner als auch das daraufhin bei der Beschwerdekammer geführte Be- schwerdeverfahren RR.2016.273 gegen die Auslieferung des Beschwerde- führers in deutscher Sprache. Zudem wird der Beschwerdeführer weiterhin von einem deutschsprachigen Rechtsvertreter verbeiständet. Aus diesen Gründen erfolgt der vorliegende Entscheid in deutscher Sprache.</w:t>
      </w:r>
    </w:p>
    <w:p>
      <w:r>
        <w:rPr>
          <w:b/>
        </w:rPr>
        <w:t>E. 3</w:t>
      </w:r>
    </w:p>
    <w:p>
      <w:r>
        <w:t>Zunächst ist auf die formellen Rügen und prozessualen Anträge des Be- schwerdeführers einzugehen.</w:t>
      </w:r>
    </w:p>
    <w:p>
      <w:r>
        <w:rPr>
          <w:b/>
        </w:rPr>
        <w:t>E. 3.1</w:t>
      </w:r>
    </w:p>
    <w:p>
      <w:r>
        <w:t>Das Vorbringen des Beschwerdeführers, es habe keine persönliche Anhö- rung stattgefunden und es sei ihm auch vorgängig keine Gelegenheit einge- räumt worden, sich zur Inhaftierung zu äussern (act. 1, S. 4), verfängt nicht. Eine vorgängige Stellungnahme zur bevorstehenden Inhaftierung ist im Ge- setz nicht vorgesehen und würde dem Zweck der Verhaftung zuwiderlaufen. Der Beschwerdeführer wurde bereits im Rahmen der ersten Verhaftung am</w:t>
      </w:r>
    </w:p>
    <w:p>
      <w:r>
        <w:rPr>
          <w:b/>
        </w:rPr>
        <w:t>E. 3.2</w:t>
      </w:r>
    </w:p>
    <w:p>
      <w:r>
        <w:t>Des Weiteren bringt der Beschwerdeführer vor, der angefochtene Entscheid enthalte keinerlei Begründung (act. 1, S. 6 f.).</w:t>
      </w:r>
    </w:p>
    <w:p>
      <w:r>
        <w:t>Eine gesetzliche Pflicht, Auslieferungshaftbefehle zu begründen, ist in Art. 47 Abs. 1 lit. a IRSG nicht vorgesehen. Im Gegensatz zur eidgenössi- schen StPO sieht das IRSG keine besonderen Haftgründe vor. Liegen keine Gründe i.S.v. Art. 47 IRSG vor, welche für ein Absehen von Auslieferungs- haft sprechen, reicht der rechtzeitige Eingang eines Auslieferungsersuchens zur Anordnung der Auslieferungshaft grundsätzlich aus (FORSTER, Basler Kommentar, Internationales Strafrecht, Basel 2015, Art. 47 IRSG N. 3). Gründe, weshalb der Beschwerdegegner trotz der im März 2016 angeordne- ten Ersatzmassnahmen eine erneute Inhaftierung des Beschwerdeführers verfügt hat, gehen aus der Beschwerdeantwort vom 8. August 2017 ausrei- chend hervor (act. 3). Zudem wurde die Inhaftierung des Beschwerdeführers seinem Rechtsvertreter in der E-Mail vom 31. Juli 2017 kurz begründet. Da- bei wurde auf den Beschwerdeentscheid der Beschwerdekammer vom 21. Juli 2017 und auf die dadurch gestiegene Fluchtgefahr hingewiesen (act. 1.12). Der Entscheid der Beschwerdekammer vom 21. Juli 2017 wird im Übrigen auch in dem hier angefochtenen Entscheid erwähnt (act. 3.4, S. 1). Unter diesen Umständen ist eine Verletzung der Begründungspflicht als Ausdruck des Anspruchs auf rechtliches Gehör ebenfalls zu verneinen. Damit geht die Rüge fehl.</w:t>
      </w:r>
    </w:p>
    <w:p>
      <w:r>
        <w:t>4.</w:t>
      </w:r>
    </w:p>
    <w:p>
      <w:r>
        <w:t>4.1 In materieller Hinsicht bestreitet der Beschwerdeführer das Vorliegen von Fluchtgefahr. Er bringt im Wesentlichen vor, die Fluchtgefahr sei mit dem Entscheid der Beschwerdekammer nicht gestiegen. Die Ausgangslage hin- sichtlich der Fluchtgefahr sei keine wesentlich andere als im März 2016. Zu- dem habe er keine faktische Möglichkeit, sich der drohenden Auslieferung durch Flucht zu entziehen. Zu berücksichtigen sei auch seine äusserst enge Bindung zur Schweiz in beruflicher und privater Hinsicht (act. 1, S. 7 ff.; act. 4, S. 3 ff.).</w:t>
      </w:r>
    </w:p>
    <w:p>
      <w:r>
        <w:t>- 6 -</w:t>
      </w:r>
    </w:p>
    <w:p>
      <w:r>
        <w:t>4.2 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a.a.O., Art. 47 IRSG N. 5 und 6). Diese Aufzählung ist nicht abschliessend (BGE 130 II 306 E. 2.1; 117 IV 359 E. 2a S. 361; vgl. auch Entscheide des Bundesstrafgerichts RH.2016.10 vom 6. 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 Auslieferungspflichten nachzukommen (vgl. BGE 130 II 306 E. 2.2 und 2.3; 111 IV 108 E. 2; Entscheid des Bundesstrafgerichts RH.2015.14 vom 9. Juli 2015, E. 4.1). Die Rechtsprechung des Bundesgerichts ist hinsichtlich der Verneinung von Fluchtgefahr überaus restriktiv und misst der Erfüllung die- ser staatsvertraglichen Auslieferungspflichten im Vergleich zu den Interes- 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 8 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r>
        <w:t>4.3 Eine effektive Verbindung des Beschwerdeführers zur Schweiz wird auf- grund seiner Geburt und des langen Aufenthalts in der Schweiz sowie seiner</w:t>
      </w:r>
    </w:p>
    <w:p>
      <w:r>
        <w:t>- 7 -</w:t>
      </w:r>
    </w:p>
    <w:p>
      <w:r>
        <w:t>hier lebenden Familie nicht in Frage gestellt. Indessen ist diese nicht derge- stalt, dass deshalb die Fluchtgefahr zu verneinen wäre. Der Beschwerdefüh- rer ist 39 Jahre alt und soweit ersichtlich bei guter Gesundheit, zumal er er- werbstätig ist (act. 1, S. 4 f.). Daher ist das Vorliegen von Fluchtgefahr zu bejahen. Ausserdem gilt zu beachten, dass die Beschwerde des Beschwer- deführers gegen den Auslieferungsentscheid mit Entscheid des Bundesstraf- gerichts vom 21. Juli 2017 abgewiesen wurde, wobei die dagegen vom Be- schwerdeführer erhobene Beschwerde an das Bundesgericht noch hängig ist (RR.2016.273, act. 23; act. 4.2). Wie der Beschwerdegegner zurecht aus- führt (act. 3, Ziff. IV.2), ist bei dieser Sachlage im Unterschied zum Beginn des Auslieferungsverfahrens daher die Möglichkeit, nach Italien ausgeliefert zu werden, für den Beschwerdeführer in unmittelbare Nähe gerückt. Dies umso mehr, als das Bundesgericht auf Beschwerden auf dem Gebiet der internationalen Rechtshilfe nur eintritt, wenn es sich um einen besonders be- deutenden Fall handelt (vgl. Art. 84 Abs. 2 BGG). Ob das Bundesgericht auf die hängige Beschwerde des Beschwerdeführers eintreten wird, ist vorlie- gend nicht zu beurteilen, weshalb auf die diesbezüglichen Ausführungen des Beschwerdeführers nicht einzugehen ist. Aufgrund des ihm in Italien ge- machten Vorwurfs der Beteiligung an einer kriminellen Organisation droht dem Beschwerdeführer im Falle einer Verurteilung eine mehrjährige Frei- heitsstrafe. Daher ist die Annahme des Beschwerdegegners, dass sich die Fluchtmotivation des Beschwerdeführers aufgrund des veränderten Verfah- rensstandes deutlich erhöht hat, die im Übrigen der konstanten Praxis des Bundesstrafgerichts entspricht (vgl. Entscheide des Bundesstrafgerichts RH.2012.9 vom 23. August 2012, E. 5.3; RH.2014.15, RP.2014.72 vom 30. Oktober 2014, E. 5.4 und RH.2015.9 vom 9. Juni 2015, E. 6.3), nicht zu beanstanden. Daran vermag auch das sinngemässe Vorbringen des Be- schwerdeführers, er könne eine Flucht ins Ausland faktisch kaum realisieren (act. 4, S. 4), nichts zu ändern. Im Lichte der restriktiven Rechtsprechung zur Fluchtgefahr ist diese nach dem Gesagten als sehr hoch einzustufen.</w:t>
      </w:r>
    </w:p>
    <w:p>
      <w:r>
        <w:t>4.4 Im Gegensatz zur Ausgangslage zu Beginn des Auslieferungsverfahrens kann die erhöhte Fluchtgefahr nicht mehr durch Ersatzmassnahmen gebannt werden. Daran vermag auch das Angebot des Beschwerdeführers, die Fluchtkaution um höchstens Fr. 5‘000.-- zu erhöhen, nichts zu ändern. Das Bundesgericht pflegt auch bei Fluchtkautionen eine strenge Praxis und geht davon aus, dass selbst hohe Kautionen bei nicht vollkommen durchsichtigen finanziellen Verhältnissen eine Flucht nicht von vornherein zu verhindern vermögen (Urteil des Bundesgerichts 8G.11/2003 vom 21. Februar 2003, E. 5; Entscheide des Bundesstrafgerichts RH.2015.25 vom 25. November 2015, E. 5.3 und RH.2014.17 vom 3. November 2014, E. 5.3 m.w.H.). Der</w:t>
      </w:r>
    </w:p>
    <w:p>
      <w:r>
        <w:t>- 8 -</w:t>
      </w:r>
    </w:p>
    <w:p>
      <w:r>
        <w:t>Beschwerdeführer gab in seiner Beschwerde zunächst an, über keine finan- zielle Mittel zu verfügen, um eine Kaution zu leisten (act. 1, S. 8). In seiner Replikschrift bietet er an, die im März 2016 erbrachte Fluchtkaution von Fr. 15‘000.-- um Fr. 5‘000.-- zu erhöhen, die jedoch von seinem Vater geleis- tet werde (act. 4, S. 7). Die angebotene Erhöhung der Fluchtkaution um Fr. 5‘000.-- ist nicht geeignet, die vorliegende sehr hohe Fluchtgefahr zu ver- hindern. Denn die finanziellen Verhältnisse des Beschwerdeführers sind nicht klar. Unterlagen hierzu reichte er nicht ein. Unabhängig davon, ob der Kanton Thurgau über die erforderlichen technischen Vorrichtungen verfügt, vermag das beantragte Electronic Monitoring der sehr hohen Fluchtgefahr ebenfalls nicht ausreichend zu begegnen. Das Gesagte gilt sinngemäss in Bezug auf die angebotene tägliche Meldepflicht bei der Polizei. Nach dem Gesagten ist die Beschwerde diesbezüglich abzuweisen.</w:t>
      </w:r>
    </w:p>
    <w:p>
      <w:r>
        <w:t>5.</w:t>
      </w:r>
    </w:p>
    <w:p>
      <w:r>
        <w:t>5.1 Schliesslich macht der Beschwerdeführer geltend, er sei nicht hafterste- hungsfähig (act. 4, S. 9 f.).</w:t>
      </w:r>
    </w:p>
    <w:p>
      <w:r>
        <w:t>5.2 Wie bereits oben dargelegt, drängt sich eine Haftentlassung bei fehlender Hafterstehungsfähigkeit auf (Art. 47 Abs. 2 IRSG; FORSTER, a.a.O., Art. 47 IRSG N. 8 m.w.H.). Belassung in Haft setzt voraus, dass der körperliche bzw. psychische Zustand des Verfolgten diesen als hafterstehungsfähig erschei- nen lässt. Auf die Haft ist zu verzichten, wenn ihre Auswirkungen auf den Betroffenen in keinem vernünftigen Verhältnis zum Haftzweck stehen. Sie lässt sich umso weniger mit der persönlichen Freiheit und dem Verhältnis- mässigkeitsprinzip vereinbaren, je geringer das Interesse an der Fortsetzung der Haft ist und je eher der Tod oder eine dauernde, schwere Krankheit die Folge der Untersuchungshaft wäre. Es ist demnach in jedem einzelnen Fall eine Interessenabwägung vorzunehmen, bei der insbesondere der Zweck der Haft, die Schwere der gesundheitlichen Gefährdung, die Möglichkeit der medizinischen Betreuung im Gefängnis etc. zu berücksichtigen sind (vgl. BGE 116 Ia 420 E. 3a m.w.H. und HÄNNI, Basler Kommentar, 2. Aufl., Basel 2014, Art. 251/252 StPO N. 47 zur Untersuchungshaft). Es gilt dabei zu be- achten, dass Haft für den Betroffenen immer ein Übel bedeutet – sie wird vom einen besser, vom anderen weniger gut ertragen (BGE 116 Ia 420 E. 3b). Ob eine Krankheit der Haft entgegensteht und ob eine genügende medizinische Betreuung in Haft gewährleistet ist, muss die zuständige Be- hörde unter Beiziehung von medizinischen Sachverständigen im Einzelfall abklären (HÄNNI, a.a.O., Art. 251/252 StPO N. 49).</w:t>
      </w:r>
    </w:p>
    <w:p>
      <w:r>
        <w:t>- 9 -</w:t>
      </w:r>
    </w:p>
    <w:p>
      <w:r>
        <w:t>5.3 Die vom Beschwerdeführer eingereichten Arztberichte belegen, dass der Be- schwerdeführer an einer klaustrophoben Störung mittleren Grades und aller- gischem Asthma bronchiale leidet (act. 4.4, 4.5). Indes lässt sich gestützt auf die ins Recht gelegten Berichte keine Hafterstehungsunfähigkeit des Beschwerdeführers erkennen, die eine Haftentlassung zur Folge hätte. Der Beschwerdeführer hat sich hinsichtlich der notwendigen Medikation an den Gefängnisarzt zu wenden.</w:t>
      </w:r>
    </w:p>
    <w:p>
      <w:r>
        <w:t>5.4 Andere Gründe, welche eine Auslieferung offensichtlich auszuschliessen oder sonst zu einer Aufhebung der Auslieferungshaft zu führen vermöchten, werden weder geltend gemacht noch sind solche ersichtlich.</w:t>
      </w:r>
    </w:p>
    <w:p>
      <w:r>
        <w:t>5.5 Die Beschwerde erweist sich zusammenfassend als unbegründet und ist vollumfänglich abzuweisen.</w:t>
      </w:r>
    </w:p>
    <w:p>
      <w:r>
        <w:t>6. Das Gesuch um Erteilung der aufschiebenden Wirkung wird mit dem vorlie- genden Entscheid hinfällig und ist als gegenstandslos geworden abzuschrei- ben.</w:t>
      </w:r>
    </w:p>
    <w:p>
      <w:r>
        <w:t>7. 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- 10 -</w:t>
      </w:r>
    </w:p>
    <w:p>
      <w:r>
        <w:rPr>
          <w:b/>
        </w:rPr>
        <w:t>E. 8</w:t>
      </w:r>
    </w:p>
    <w:p>
      <w:r>
        <w:t>März 2016 über die in Art. 52 IRSG genannten Punkte orientiert bzw. auf diese hingewiesen. Zudem wurde der Auslieferungshaftbefehl im Hinblick auf die Sicherstellung der Vollstreckung des ursprünglichen Auslieferungs-</w:t>
      </w:r>
    </w:p>
    <w:p>
      <w:r>
        <w:t>- 5 -</w:t>
      </w:r>
    </w:p>
    <w:p>
      <w:r>
        <w:t>ersuchens erlassen. Eine Abänderung oder Erweiterung des Auslieferungs- ersuchens fand nicht statt. Unter diesen Umständen konnte der Beschwer- degegner auf eine erneute persönliche Anhörung des Beschwerdeführers verzichten (vgl. auch Entscheid des Bundesstrafgerichts RH.2015.5 vom</w:t>
      </w:r>
    </w:p>
    <w:p>
      <w:r>
        <w:rPr>
          <w:b/>
        </w:rPr>
        <w:t>E. 9</w:t>
      </w:r>
    </w:p>
    <w:p>
      <w:r>
        <w:t>April 2015, E. 2.2). Eine Verletzung des rechtlichen Gehörs ist nicht er- sichtlich. Die Rüge ist daher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