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RH.2017.8 vom 11. August 2017</w:t>
      </w:r>
    </w:p>
    <w:p>
      <w:r>
        <w:t>Bundesstrafgericht, 2017-08-11, DE</w:t>
      </w:r>
    </w:p>
    <w:p>
      <w:r>
        <w:rPr>
          <w:b/>
        </w:rPr>
        <w:t xml:space="preserve">Quelle: </w:t>
      </w:r>
      <w:r>
        <w:t>https://mcp.opencaselaw.ch/entscheid/bstger_RH.2017.8</w:t>
      </w:r>
    </w:p>
    <w:p>
      <w:r>
        <w:t>FR: TPF RH.2017.8 du 11 août 2017</w:t>
      </w:r>
    </w:p>
    <w:p>
      <w:r>
        <w:t>IT: TPF RH.2017.8 del 11 agosto 2017</w:t>
      </w:r>
    </w:p>
    <w:p>
      <w:pPr>
        <w:pStyle w:val="Heading2"/>
      </w:pPr>
      <w:r>
        <w:t>Regeste</w:t>
      </w:r>
    </w:p>
    <w:p>
      <w:r>
        <w:t>Auslieferung an Italien. Auslieferungshaftbefehl (Art. 48 Abs. 2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wobei die zwischen den Ver- tragsparteien geltenden weitergehenden Bestimmungen aufgrund bilateraler Abkommen unberührt bleiben (Art. 59 Abs. 2 SDÜ).</w:t>
      </w:r>
    </w:p>
    <w:p>
      <w:r>
        <w:rPr>
          <w:b/>
        </w:rPr>
        <w:t>E. 1.2</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w:t>
      </w:r>
    </w:p>
    <w:p>
      <w:r>
        <w:t>- 4 -</w:t>
      </w:r>
    </w:p>
    <w:p>
      <w:r>
        <w:t>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dem Beschwerdeführer am 28. Juli 2017 eröffnet (act. 1, S. 3; act. 3.6). Seine am 31. Juli 2017 er- hobene Beschwerde erweist sich damit als fristgerecht. Die übrigen Eintre- tensvoraussetzungen geben keinen Anlass zu weiteren Bemerkungen. Auf die Beschwerde ist demnach einzutreten.</w:t>
      </w:r>
    </w:p>
    <w:p>
      <w:r>
        <w:rPr>
          <w:b/>
        </w:rPr>
        <w:t>E. 2.3</w:t>
      </w:r>
    </w:p>
    <w:p>
      <w:r>
        <w:t>Der angefochtene Auslieferungshaftbefehl erfolgte in italienischer Sprache. Nach konstanter Praxis der Beschwerdekammer definiert die Sprache des angefochtenen Entscheids die Sprache im Beschwerdeverfahren. Indes be- steht vorliegend begründeter Anlass, davon abzuweichen und das Be- schwerdeverfahren auf Deutsch zu führen. Sowohl das Auslieferungsverfah- ren vor dem Beschwerdegegner als auch das daraufhin bei der Beschwer- dekammer geführte Beschwerdeverfahren gegen die Auslieferung des Be- schwerdeführers an Italien erfolgten in deutscher Sprache (RR.2016.316). Zudem wird der Beschwerdeführer weiterhin von einem deutschsprachigen Rechtsvertreter verbeiständet. Aus diesen Gründen erfolgt der vorliegende Entscheid in deutscher Sprache.</w:t>
      </w:r>
    </w:p>
    <w:p>
      <w:r>
        <w:rPr>
          <w:b/>
        </w:rPr>
        <w:t>E. 3.1</w:t>
      </w:r>
    </w:p>
    <w:p>
      <w:r>
        <w:t>Der Beschwerdeführer bringt zunächst vor, der Auslieferungshaftbefehl vom 25. Juli 2017 sei nicht hinreichend begründet (act. 1, S. 5).</w:t>
      </w:r>
    </w:p>
    <w:p>
      <w:r>
        <w:t>Wie der Beschwerdegegner zutreffend ausführt, ist eine gesetzliche Pflicht, Auslieferungshaftbefehle zu begründen, in Art. 47 Abs. 1 lit. a IRSG nicht vorgesehen. Im Gegensatz zur eidgenössischen StPO sieht das IRSG keine Haftgründe vor. Der rechtzeitige Eingang eines Auslieferungsersuchens reicht zur Anordnung der Auslieferungshaft grundsätzlich aus (FORSTER, Basler Kommentar, Internationales Strafrecht, Basel 2015, Art. 47 IRSG N. 3). Gründe, weshalb der Beschwerdegegner trotz der im März 2016 an- geordneten Ersatzmassnahmen eine erneute Inhaftierung des Beschwerde- führers verfügt hat, gehen aus der Beschwerdeantwort vom 4. August 2017 ausreichend hervor (act. 3). Zudem wurde die Inhaftierung des Beschwerde- führers seinem Rechtsvertreter auf Nachfrage hin telefonisch begründet. Na- mentlich wurde auf das Vorliegen des Beschwerdeentscheides der Be- schwerdekammer und auf die dadurch veränderte Situation hingewiesen (act. 1, S. 4). Damit ist die Rüge unbegründet.</w:t>
      </w:r>
    </w:p>
    <w:p>
      <w:r>
        <w:t>- 5 -</w:t>
      </w:r>
    </w:p>
    <w:p>
      <w:r>
        <w:rPr>
          <w:b/>
        </w:rPr>
        <w:t>E. 3.2</w:t>
      </w:r>
    </w:p>
    <w:p>
      <w:r>
        <w:t>Das weitere Vorbringen des Beschwerdeführers, es habe keine persönliche Anhörung im Sinne von Art. 52 IRSG stattgefunden und es sei ihm auch vor- gängig keine Gelegenheit eingeräumt worden, sich zur Inhaftierung zu äus- sern (act. 1, S. 5), verfängt nicht. Eine vorgängige Stellungnahme zur bevor- stehenden Inhaftierung ist im Gesetz nicht vorgesehen und würde dem Zweck der Verhaftung zuwiderlaufen. Der Beschwerdeführer wurde bereits im Rahmen der ersten Verhaftung am 8. März 2016 über die in Art. 52 IRSG genannten Punkte orientiert bzw. auf diese hingewiesen. Zudem wurde der Auslieferungshaftbefehl im Hinblick auf die Sicherstellung der Vollstreckung des ursprünglichen Auslieferungsersuchens erlassen. Eine Abänderung oder Erweiterung des Auslieferungsersuchens fand nicht statt. Unter diesen Umständen konnte der Beschwerdegegner auf eine erneute persönliche An- hörung des Beschwerdeführers verzichten (vgl. auch Entscheid des Bun- desstrafgerichts RH.2015.5 vom 9. April 2015, E. 2.2). Die Rüge geht daher fehl.</w:t>
      </w:r>
    </w:p>
    <w:p>
      <w:r>
        <w:rPr>
          <w:b/>
        </w:rPr>
        <w:t>E. 4.1</w:t>
      </w:r>
    </w:p>
    <w:p>
      <w:r>
        <w:t>Des Weiteren bestreitet der Beschwerdeführer das Vorliegen von Fluchtge- fahr und bringt im Wesentlichen vor, er werde im September erstmals Gross- vater und er wolle seine Enkelin unbedingt kennenlernen. Zudem sei er mit der Erhöhung der Fluchtkaution um Fr. 20‘000.-- sowie mit der Anordnung von weiteren Ersatzmassnahmen wie Electronic Monitoring und täglicher Meldepflicht auf einem Polizeiposten einverstanden (act.1, S. 6 f.).</w:t>
      </w:r>
    </w:p>
    <w:p>
      <w:r>
        <w:rPr>
          <w:b/>
        </w:rPr>
        <w:t>E. 4.2</w:t>
      </w:r>
    </w:p>
    <w:p>
      <w:r>
        <w:t>Die Haft des Verfolgten während des ganzen Auslieferungsverfahrens bildet die Regel (BGE 136 IV 20 E. 2.2 S. 23; 130 II 306 E. 2.2 S. 309). Eine Auf- hebung des Auslieferungshaftbefehls sowie eine Haftentlassung rechtferti- 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vgl. auch FORSTER, a.a.O., Art. 47 IRSG N. 5 und 6). Diese Aufzählung ist nicht abschliessend (BGE 130 II 306 E. 2.1; 117 IV 359 E. 2a S. 361; vgl. auch Entscheide des Bundesstrafgerichts RH.2016.10 vom</w:t>
      </w:r>
    </w:p>
    <w:p>
      <w:r>
        <w:rPr>
          <w:b/>
        </w:rPr>
        <w:t>E. 4.3</w:t>
      </w:r>
    </w:p>
    <w:p>
      <w:r>
        <w:t>Im Gegensatz zur Ausgangslage zu Beginn des Auslieferungsverfahrens kann die erhöhte Fluchtgefahr nicht mehr durch Ersatzmassnahmen gebannt werden. Daran vermag auch das Angebot des Beschwerdeführers, die Fluchtkaution um Fr. 20‘000.-- zu erhöhen, nichts zu ändern. Das Bundes- gericht pflegt auch bei Fluchtkautionen eine strenge Praxis und geht davon aus, dass selbst hohe Kautionen bei nicht vollkommen durchsichtigen finan- ziellen Verhältnissen eine Flucht nicht von vornherein zu verhindern vermö- gen (Urteil des Bundesgerichts 8G.11/2003 vom 21. Februar 2003, E. 5; Ent- scheide des Bundesstrafgerichts RH.2015.25 vom 25. November 2015, E. 5.3 und RH.2014.17 vom 3. November 2014, E. 5.3 m.w.H.). Der Be- schwerdeführer reichte dem Gericht lediglich eine Steuererklärung für das Jahr 2014 ein (act. 4.2). Die gegenwärtige finanzielle Situation des Be- schwerdeführers lässt sich daraus nicht entnehmen, weshalb davon auszu- gehen ist, dass die angebotene Erhöhung der Fluchtkaution um Fr. 20‘000.- nicht geeignet ist, die vorliegende Fluchtgefahr zu verhindern. Unabhängig davon, ob der Kanton Thurgau über die erforderlichen technischen Vorrich- tungen verfügt, vermag das beantragte Electronic Monitoring der sehr hohen Fluchtgefahr nicht ausreichend zu begegnen. Das Gesagte gilt sinngemäss in Bezug auf die beantragte tägliche Meldepflicht bei der Polizei.</w:t>
      </w:r>
    </w:p>
    <w:p>
      <w:r>
        <w:rPr>
          <w:b/>
        </w:rPr>
        <w:t>E. 4.4</w:t>
      </w:r>
    </w:p>
    <w:p>
      <w:r>
        <w:t>Andere Gründe, welche eine Auslieferung offensichtlich auszuschliessen oder sonst zu einer Aufhebung der Auslieferungshaft zu führen vermöchten, werden weder geltend gemacht noch sind solche ersichtlich.</w:t>
      </w:r>
    </w:p>
    <w:p>
      <w:r>
        <w:t>- 8 -</w:t>
      </w:r>
    </w:p>
    <w:p>
      <w:r>
        <w:rPr>
          <w:b/>
        </w:rPr>
        <w:t>E. 4.5</w:t>
      </w:r>
    </w:p>
    <w:p>
      <w:r>
        <w:t>Der Vollständigkeit halber sei erwähnt, dass mit der Inhaftierung des Be- schwerdeführers die im März 2016 abgeschlossene Kautionsvereinbarung ihre Geltung verloren hat. Daher ist die Kaution grundsätzlich zurückzube- zahlen und die angeordneten Ersatzmassnahmen sind aufzuheben, sofern diese nicht bereits aufgrund ihrer Natur dahingefallen sind. Weshalb die Rückzahlung der Kaution erst nach Vollzug der Auslieferung erfolgen soll, wie dies der Beschwerdegegner dem Beschwerdeführer angeblich erklärt habe (act. 1, S. 4), ist nicht nachvollziehbar.</w:t>
      </w:r>
    </w:p>
    <w:p>
      <w:r>
        <w:t>5. Die Beschwerde erweist sich zusammenfassend als unbegründet und ist vollumfänglich abzuweisen.</w:t>
      </w:r>
    </w:p>
    <w:p>
      <w:r>
        <w:t>6. 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- 9 -</w:t>
      </w:r>
    </w:p>
    <w:p>
      <w:r>
        <w:rPr>
          <w:b/>
        </w:rPr>
        <w:t>E. 6</w:t>
      </w:r>
    </w:p>
    <w:p>
      <w:r>
        <w:t>September 2016, E. 2; RH.2016.7 vom 2. August 2016, E. 4.2).</w:t>
      </w:r>
    </w:p>
    <w:p>
      <w:r>
        <w:t>- 6 -</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 li 2015, E. 4.1). Die Rechtsprechung des Bundesgerichts ist hinsichtlich der Verneinung von Fluchtgefahr überaus restriktiv und misst der Erfüllung die- ser staatsvertraglichen Auslieferungspflichten im Vergleich zu den Interes- sen des Verfolgten ausserordentlich grosses Gewicht bei (vgl. BGE 130 II 306 E. 2 S. 310 ff. m.w.H.; Entscheid des Bundesstrafgerichts RH.2015.4 vom 23. Februar 2015, E. 5.2). So wurde beispielsweise die Möglichkeit ei- ner Verurteilung zu einer langen Freiheitsstrafe zur Verweigerung der Haft- entlassung als ausreichend betrachtet, obwohl der Verfolgte über eine Nie- derlassungsbewilligung verfügte, seit 18 Jahren in der Schweiz lebte, mit ei- ner Schweizerin verheiratet und Vater zweier Kinder im Alter von 3 und</w:t>
      </w:r>
    </w:p>
    <w:p>
      <w:r>
        <w:rPr>
          <w:b/>
        </w:rPr>
        <w:t>E. 8</w:t>
      </w:r>
    </w:p>
    <w:p>
      <w:r>
        <w:t>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r>
        <w:t>Eine effektive Verbindung des Beschwerdeführers zur Schweiz wird auf- grund seines jahrelangen Aufenthalts in der Schweiz und seiner hier leben- den Familie nicht in Frage gestellt. Indessen ist diese nicht dergestalt, dass deshalb die Fluchtgefahr zu verneinen wäre. Der Beschwerdeführer ist 58 Jahre alt und soweit ersichtlich bei guter Gesundheit, zumal er erwerbs- tätig ist (act. 1, S. 7). Der Beschwerdekammer ist aus dem Beschwerdever- fahren gegen den Auslieferungsentscheid bekannt, dass der Beschwerde- führer trotz seines rund vierzigjährigen Aufenthalts in der Schweiz der deut- schen Sprache nicht mächtig ist. Für die Einvernahme vom 8. März 2016 musste eine übersetzende Person für die italienische Sprache beigezogen werden (RR.2016.316, Verfahrensakten, Urkunde 23, S. 1). All diese Ele- mente sprechen für das Vorliegen von Fluchtgefahr. Daran vermag auch der Umstand, dass der Beschwerdeführer im September Grossvater wird, nichts zu ändern.</w:t>
      </w:r>
    </w:p>
    <w:p>
      <w:r>
        <w:t>Ausserdem gilt zu beachten, dass die Beschwerde des Beschwerdeführers gegen den Auslieferungsentscheid mit Entscheid des Bundesstrafgerichts vom 21. Juli 2017 abgewiesen wurde, wobei die dagegen vom Beschwerde- führer erhobene Beschwerde an das Bundesgericht noch hängig ist</w:t>
      </w:r>
    </w:p>
    <w:p>
      <w:r>
        <w:t>- 7 -</w:t>
      </w:r>
    </w:p>
    <w:p>
      <w:r>
        <w:t>(RR.2016.316, act. 20, 23). Wie der Beschwerdegegner zurecht ausführt (act. 3, Ziff. IV.2), ist bei dieser Sachlage im Unterschied zum Beginn des Auslieferungsverfahrens daher die Möglichkeit, nach Italien ausgeliefert zu werden, für den Beschwerdeführer in unmittelbare Nähe gerückt. Dies umso mehr, als das Bundesgericht auf Beschwerden auf dem Gebiet der interna- tionalen Rechtshilfe nur eintritt, wenn es sich um einen besonders bedeuten- den Fall handelt (vgl. Art. 84 Abs. 2 BGG). Aufgrund des ihm in Italien ge- machten Vorwurfs der Beteiligung an einer kriminellen Organisation droht dem Beschwerdeführer im Falle einer Verurteilung eine mehrjährige Frei- heitsstrafe. Daher ist die Annahme des Beschwerdegegners, dass sich die Fluchtmotivation des Beschwerdeführers aufgrund des veränderten Verfah- rensstandes deutlich erhöht hat, die im Übrigen der konstanten Praxis des Bundesstrafgerichts entspricht (vgl. Entscheide des Bundesstrafgerichts RH.2012.9 vom 23. August 2012, E. 5.3; RH.2014.15, RP.2014.72 vom 30. Oktober 2014, E. 5.4 und RH.2015.9 vom 9. Juni 2015, E. 6.3), nicht zu beanstanden. Im Lichte der restriktiven Rechtsprechung zur Fluchtgefahr ist diese nach dem Gesagten als sehr hoch einzustufen.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