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RH.2017.15 vom 28. September 2017</w:t>
      </w:r>
    </w:p>
    <w:p>
      <w:r>
        <w:t>Bundesstrafgericht, 2017-09-28, FR</w:t>
      </w:r>
    </w:p>
    <w:p>
      <w:r>
        <w:rPr>
          <w:b/>
        </w:rPr>
        <w:t xml:space="preserve">Quelle: </w:t>
      </w:r>
      <w:r>
        <w:t>https://mcp.opencaselaw.ch/entscheid/bstger_RH.2017.15</w:t>
      </w:r>
    </w:p>
    <w:p>
      <w:r>
        <w:t>FR: TPF RH.2017.15 du 28 septembre 2017</w:t>
      </w:r>
    </w:p>
    <w:p>
      <w:r>
        <w:t>IT: TPF RH.2017.15 del 28 settembre 2017</w:t>
      </w:r>
    </w:p>
    <w:p>
      <w:pPr>
        <w:pStyle w:val="Heading2"/>
      </w:pPr>
      <w:r>
        <w:t>Regeste</w:t>
      </w:r>
    </w:p>
    <w:p>
      <w:r>
        <w:t>Extradition à l'Espagne. Elargissement (art. 50 al. 3 EIMP).</w:t>
      </w:r>
    </w:p>
    <w:p>
      <w:pPr>
        <w:pStyle w:val="Heading2"/>
      </w:pPr>
      <w:r>
        <w:t>Erwägungen</w:t>
      </w:r>
    </w:p>
    <w:p>
      <w:r>
        <w:rPr>
          <w:b/>
        </w:rPr>
        <w:t>E. 1</w:t>
      </w:r>
    </w:p>
    <w:p>
      <w:r>
        <w:t>Les procédures d'extradition entre la Suisse et l’Espagne sont prioritairement régies par la Convention européenne d’extradition du 13 décembre 1957 (CEExtr; RS 0.353.1) et par ses protocoles additionnels (RS 0.353.11 et 12). À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w:t>
      </w:r>
    </w:p>
    <w:p>
      <w:r>
        <w:rPr>
          <w:b/>
        </w:rPr>
        <w:t>E. 1.1</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w:t>
      </w:r>
    </w:p>
    <w:p>
      <w:r>
        <w:t>- 4 -</w:t>
      </w:r>
    </w:p>
    <w:p>
      <w:r>
        <w:t>et 37 al. 2 let. a ch. 1 de la loi fédérale sur l'organisation des autorités pénales de la Confédération [LOAP; RS 173.71]).</w:t>
      </w:r>
    </w:p>
    <w:p>
      <w:r>
        <w:rPr>
          <w:b/>
        </w:rPr>
        <w:t>E. 1.3</w:t>
      </w:r>
    </w:p>
    <w:p>
      <w:r>
        <w:t>Le recourant, qui se trouve en détention en vue d'extradition, a qualité pour agir (art. 48 al. 2 et 80h let. b EIMP). Le recours a été interjeté en temps utile.</w:t>
      </w:r>
    </w:p>
    <w:p>
      <w:r>
        <w:rPr>
          <w:b/>
        </w:rPr>
        <w:t>E. 1.4</w:t>
      </w:r>
    </w:p>
    <w:p>
      <w:r>
        <w:t>Par conséquent, il y a lieu d'entrer en matière.</w:t>
      </w:r>
    </w:p>
    <w:p>
      <w:r>
        <w:rPr>
          <w:b/>
        </w:rPr>
        <w:t>E. 2</w:t>
      </w:r>
    </w:p>
    <w:p>
      <w:r>
        <w:t>La détention de l'accusé constitue la règle dans le cadre d'une procédure d'extradition (ATF 130 II 306 consid. 2.2; 117 IV 359 consid. 2a; 111 IV 108 consid. 2; 109 IV 159 consid. 1; 109 Ib 58 consid. 2).</w:t>
      </w:r>
    </w:p>
    <w:p>
      <w:r>
        <w:rPr>
          <w:b/>
        </w:rPr>
        <w:t>E. 2.1</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2.2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détenue, ont été admis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w:t>
      </w:r>
    </w:p>
    <w:p>
      <w:r>
        <w:t>- 5 -</w:t>
      </w:r>
    </w:p>
    <w:p>
      <w:r>
        <w:rPr>
          <w:b/>
        </w:rPr>
        <w:t>E. 2.3</w:t>
      </w:r>
    </w:p>
    <w:p>
      <w:r>
        <w:t>In casu, il est établi que le recourant est de nationalité espagnole. Il n’allègue pas avoir de lien spécifique avec la Suisse. Aussi, le risque de fuite doit-il en l’espèce être qualifié d’important, d’autant qu’en Espagne, l’extradition de l’intéressé est demandée pour l’exécution d’une peine privative de liberté de trois (3) ans et trois (3) mois pour des faits de faux en écriture et d’escroquerie (v. supra let. A).</w:t>
      </w:r>
    </w:p>
    <w:p>
      <w:r>
        <w:rPr>
          <w:b/>
        </w:rPr>
        <w:t>E. 2.4</w:t>
      </w:r>
    </w:p>
    <w:p>
      <w:r>
        <w:t>De surcroît, au vu de l’arrêt de la Cour de céans RR.2017.145 précité confirmant la décision d’extradition de l’OFJ, la perspective que le recourant soit extradé est devenue imminente. Ainsi, la détention – dont la durée n'est au demeurant pas disproportionnée en l'état – doit être maintenue.</w:t>
      </w:r>
    </w:p>
    <w:p>
      <w:r>
        <w:rPr>
          <w:b/>
        </w:rPr>
        <w:t>E. 2.5</w:t>
      </w:r>
    </w:p>
    <w:p>
      <w:r>
        <w:t>En résumé, les motifs invoqués par le détenu à l'appui de sa demande de mise en liberté immédiate sont insuffisants, en raison notamment du risque de fuite. Les conditions permettant de s'écarter de la règle voulant que la détention extraditionnelle est le principe et la libération l'exception ne sont pas remplies en l'espèce.</w:t>
      </w:r>
    </w:p>
    <w:p>
      <w:r>
        <w:rPr>
          <w:b/>
        </w:rPr>
        <w:t>E. 2.6</w:t>
      </w:r>
    </w:p>
    <w:p>
      <w:r>
        <w:t>Il s’ensuit que le recours est mal fondé.</w:t>
      </w:r>
    </w:p>
    <w:p>
      <w:r>
        <w:rPr>
          <w:b/>
        </w:rPr>
        <w:t>E. 3</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1'500.-- (art. 73 al. 2 LOAP, art. 8 al. 3 du règlement du Tribunal pénal fédéral sur les frais, émoluments, dépens, et indemnités de la procédure pénale fédérale [RFPPF; RS 173.713.162] et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