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RH.2017.13 vom 17. August 2017</w:t>
      </w:r>
    </w:p>
    <w:p>
      <w:r>
        <w:t>Bundesstrafgericht, 2017-08-17, DE</w:t>
      </w:r>
    </w:p>
    <w:p>
      <w:r>
        <w:rPr>
          <w:b/>
        </w:rPr>
        <w:t xml:space="preserve">Quelle: </w:t>
      </w:r>
      <w:r>
        <w:t>https://mcp.opencaselaw.ch/entscheid/bstger_RH.2017.13</w:t>
      </w:r>
    </w:p>
    <w:p>
      <w:r>
        <w:t>FR: TPF RH.2017.13 du 17 août 2017</w:t>
      </w:r>
    </w:p>
    <w:p>
      <w:r>
        <w:t>IT: TPF RH.2017.13 del 17 agosto 2017</w:t>
      </w:r>
    </w:p>
    <w:p>
      <w:pPr>
        <w:pStyle w:val="Heading2"/>
      </w:pPr>
      <w:r>
        <w:t>Regeste</w:t>
      </w:r>
    </w:p>
    <w:p>
      <w:r>
        <w:t>Auslieferung an Italien. Auslieferungshaftbefehl (Art. 48 Abs. 2 IRSG).</w:t>
      </w:r>
    </w:p>
    <w:p>
      <w:pPr>
        <w:pStyle w:val="Heading2"/>
      </w:pPr>
      <w:r>
        <w:t>Erwägungen</w:t>
      </w:r>
    </w:p>
    <w:p>
      <w:r>
        <w:rPr>
          <w:b/>
        </w:rPr>
        <w:t>E. 1.1</w:t>
      </w:r>
    </w:p>
    <w:p>
      <w:r>
        <w:t>Für den Auslieferungsverkehr zwischen der Schweiz und Italien sind primär das Europäische Auslieferungsübereinkommen vom 13. Dezember 1957 (EAUe; SR 0.353.1), dem beide Staaten beigetreten sind, sowie das zu die- sem Übereinkommen am 17. März 1978 ergangene zweite Zusatzprotokoll (2. ZP; SR 0.353.12) massgebend. Ausserdem gelangen die Bestimmungen der Art. 59 ff. des Übereinkommens vom 19. Juni 1990 zur Durchführung des Übereinkommens von Schengen vom 14. Juni 1985 (Schengener Durchfüh- rungsübereinkommen, SDÜ; Abl. L 239 vom 22. September 2000, S. 19-62) zur Anwendung (BGE 136 IV 88 E. 3.1 S. 89), wobei die zwischen den Ver- tragsparteien geltenden weitergehenden Bestimmungen aufgrund bilateraler Abkommen unberührt bleiben (Art. 59 Abs. 2 SDÜ).</w:t>
      </w:r>
    </w:p>
    <w:p>
      <w:r>
        <w:rPr>
          <w:b/>
        </w:rPr>
        <w:t>E. 1.2</w:t>
      </w:r>
    </w:p>
    <w:p>
      <w:r>
        <w:t>Wo Übereinkommen und Zusatzprotokoll nichts anderes bestimmen, findet ausschliesslich das Recht des ersuchten Staates Anwendung (Art. 22 EAUe), namentlich das Bundesgesetz vom 20. März 1981 über internatio- nale Rechtshilfe in Strafsachen (Rechtshilfegesetz, IRSG; SR 351.1) und die dazugehörige Verordnung vom 24. Februar 1982 (Rechtshilfeverordnung, IRSV; SR 351.11). Das innerstaatliche Recht gelangt nach dem Günstig- keitsprinzip auch dann zur Anwendung, wenn dieses geringere Anforderun- gen an die Auslieferung stellt (BGE 142 IV 250 E. 3 S. 255; 140 IV 123 E. 2; 137 IV 33 E. 2.2.2; 136 IV 82 E. 3.1). Vorbehalten bleibt die Wahrung der Menschenrechte (BGE 135 IV 212 E. 2.3; 123 II 595 E. 7c; TPF 2008 24 E. 1.1 S. 26).</w:t>
      </w:r>
    </w:p>
    <w:p>
      <w:r>
        <w:rPr>
          <w:b/>
        </w:rPr>
        <w:t>E. 2.1</w:t>
      </w:r>
    </w:p>
    <w:p>
      <w:r>
        <w:t>Gegen den Auslieferungshaftbefehl des BJ kann der Verfolgte innert zehn Tagen ab der schriftlichen Eröffnung Beschwerde bei der Beschwerdekam- mer des Bundesstrafgerichts führen. Für das Beschwerdeverfahren gelten die Art. 379–397 StPO sinngemäss (Art. 48 Abs. 2 i.V.m. Art. 47 IRSG). Im</w:t>
      </w:r>
    </w:p>
    <w:p>
      <w:r>
        <w:t>- 4 -</w:t>
      </w:r>
    </w:p>
    <w:p>
      <w:r>
        <w:t>Übrigen gelten die allgemeinen Bestimmungen des IRSG und des Bundes- gesetzes vom 20. Dezember 1968 über das Verwaltungsverfahren (Verwal- tungsverfahrensgesetz, VwVG; SR 172.021; vgl. Art. 39 Abs. 2 lit. b i.V.m. Art. 37 Abs. 2 lit. a Ziff. 1 StBOG).</w:t>
      </w:r>
    </w:p>
    <w:p>
      <w:r>
        <w:rPr>
          <w:b/>
        </w:rPr>
        <w:t>E. 2.2</w:t>
      </w:r>
    </w:p>
    <w:p>
      <w:r>
        <w:t>Der angefochtene Auslieferungshaftbefehl wurde dem Beschwerdeführer am 28. Juli 2017 persönlich eröffnet (act. 1, S. 2). Seine am 4. August 2017 erhobene Beschwerde erweist sich damit als fristgerecht. Die übrigen Ein- tretensvoraussetzungen geben keinen Anlass zu weiteren Bemerkungen. Auf die Beschwerde ist demnach einzutreten.</w:t>
      </w:r>
    </w:p>
    <w:p>
      <w:r>
        <w:rPr>
          <w:b/>
        </w:rPr>
        <w:t>E. 2.3</w:t>
      </w:r>
    </w:p>
    <w:p>
      <w:r>
        <w:t>Gemäss Art. 33a Abs. 2 VwVG ist im Beschwerdeverfahren die Sprache des angefochtenen Entscheids massgebend. Verwenden die Parteien eine an- dere Amtssprache, so kann das Verfahren in dieser Sprache geführt werden. Der angefochtene Auslieferungshaftbefehl erfolgte in italienischer Sprache. Indes reichten die Parteien sämtliche Eingaben in Deutsch ein (act. 1, 3, 4). Ausserdem erfolgte sowohl das Auslieferungsverfahren vor dem Beschwer- degegner als auch das daraufhin bei der Beschwerdekammer geführte Be- schwerdeverfahren RR.2016.295 gegen die Auslieferung des Beschwerde- führers in deutscher Sprache. Zudem wird der Beschwerdeführer weiterhin von einem deutschsprachigen Rechtsvertreter verbeiständet. Aus diesen Gründen erfolgt der vorliegende Entscheid in deutscher Sprache.</w:t>
      </w:r>
    </w:p>
    <w:p>
      <w:r>
        <w:rPr>
          <w:b/>
        </w:rPr>
        <w:t>E. 3.1</w:t>
      </w:r>
    </w:p>
    <w:p>
      <w:r>
        <w:t>Der Beschwerdeführer bringt zunächst vor, der angefochtene Auslieferungs- haftbefehl sei nicht begründet und verletze seinen Anspruch auf rechtliches Gehör. Insbesondere werde darin nicht begründet, weshalb sich die Verhält- nisse seit seiner provisorischen Entlassung gegen Kaution am 11. März 2016 verändert haben sollen (act. 1, S. 3 f.; act. 4, S. 3 f.).</w:t>
      </w:r>
    </w:p>
    <w:p>
      <w:r>
        <w:rPr>
          <w:b/>
        </w:rPr>
        <w:t>E. 3.2</w:t>
      </w:r>
    </w:p>
    <w:p>
      <w:r>
        <w:t>Eine gesetzliche Pflicht, Auslieferungshaftbefehle zu begründen, ist in Art. 47 Abs. 1 lit. a IRSG nicht vorgesehen. Im Gegensatz zur eidgenössi- schen StPO sieht das IRSG keine besonderen Haftgründe vor. Liegen keine Gründe i.S.v. Art. 47 IRSG vor, welche für ein Absehen von Auslieferungs- haft sprechen, reicht der rechtzeitige Eingang eines Auslieferungsersuchens zur Anordnung der Auslieferungshaft grundsätzlich aus (FORSTER, Basler Kommentar, Internationales Strafrecht, Basel 2015, Art. 47 IRSG N. 3). Im Übrigen gehen Gründe, weshalb der Beschwerdegegner trotz der im März 2016 angeordneten Ersatzmassnahmen eine erneute Inhaftierung des Be- schwerdeführers verfügt hat, aus der Beschwerdeantwort vom 10. Au-</w:t>
      </w:r>
    </w:p>
    <w:p>
      <w:r>
        <w:t>- 5 -</w:t>
      </w:r>
    </w:p>
    <w:p>
      <w:r>
        <w:t>gust 2017 ausreichend hervor. Darin weist der Beschwerdegegner insbeson- dere auf den Beschwerdeentscheid der Beschwerdekammer vom 21. Ju- li 2017 und auf die dadurch gestiegene Fluchtgefahr hin (act. 3, Ziff. IV.2). Der Entscheid der Beschwerdekammer vom 21. Juli 2017 wird im Übrigen auch in dem hier angefochtenen Entscheid erwähnt (act. 1.2, S. 1). Unter diesen Umständen ist eine Verletzung der Begründungspflicht als Ausdruck des Anspruchs auf rechtliches Gehör zu verneinen. Damit geht die Rüge fehl.</w:t>
      </w:r>
    </w:p>
    <w:p>
      <w:r>
        <w:rPr>
          <w:b/>
        </w:rPr>
        <w:t>E. 4.1</w:t>
      </w:r>
    </w:p>
    <w:p>
      <w:r>
        <w:t>Des Weiteren bestreitet der Beschwerdeführer das Vorliegen von Fluchtge- fahr. Er verfüge über eine Arbeitsstelle und seine Familie lebe in Z. Ihm sei bereits vor einigen Wochen bzw. Monaten der Reisepass ausgehändigt wor- den, um die Niederlassungsbewilligung zu verlängern. Obwohl er jederzeit mit einer Abweisung seiner Beschwerde gegen den Auslieferungsentscheid durch das Bundesstrafgericht habe rechnen müssen, habe er sich nicht ab- gesetzt bzw. sei nicht untergetaucht. Er habe zu keinem Zeitpunkt Anstalten unternommen, um sich der Auslieferung oder der Strafverfolgung zu entzie- hen. Es seien keinerlei sachliche oder objektive Gründe erkennbar, weshalb er den rechtskräftigen Abschluss des Auslieferungsverfahrens nicht in Frei- heit abwarten könne (act. 1, S. 4 f.; act. 4, S. 3 f.)</w:t>
      </w:r>
    </w:p>
    <w:p>
      <w:r>
        <w:rPr>
          <w:b/>
        </w:rPr>
        <w:t>E. 4.2</w:t>
      </w:r>
    </w:p>
    <w:p>
      <w:r>
        <w:t>Die Haft des Verfolgten während des ganzen Auslieferungsverfahrens bildet die Regel (BGE 136 IV 20 E. 2.2 S. 23; 130 II 306 E. 2.2 S. 309). Eine Auf- hebung des Auslieferungshaftbefehls sowie eine Haftentlassung rechtferti- 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vgl. auch FORSTER, a.a.O., Art. 47 IRSG N. 5 und 6). Diese Aufzählung ist nicht abschliessend (BGE 130 II 306 E. 2.1; 117 IV 359 E. 2a S. 361; vgl. auch Entscheide des Bundesstrafgerichts RH.2016.10 vom</w:t>
      </w:r>
    </w:p>
    <w:p>
      <w:r>
        <w:rPr>
          <w:b/>
        </w:rPr>
        <w:t>E. 4.3</w:t>
      </w:r>
    </w:p>
    <w:p>
      <w:r>
        <w:t>Eine effektive Verbindung des Beschwerdeführers zur Schweiz wird auf- grund seines langen Aufenthalts in der Schweiz sowie seiner hier lebenden Familie nicht in Frage gestellt. Indessen ist diese nicht dergestalt, dass des- halb die Fluchtgefahr zu verneinen wäre. Der Beschwerdeführer ist 40 Jahre alt und soweit ersichtlich bei guter Gesundheit, zumal er erwerbstätig ist (act. 1, S. 4). Der Beschwerdekammer ist aus dem Beschwerdeverfahren gegen den Auslieferungsentscheid bekannt, dass der Beschwerdeführer trotz seines jahrzehntelangen Aufenthalts in der Schweiz der deutschen Sprache nicht mächtig ist. Für die Einvernahme vom 8. März 2016 musste eine übersetzende Person für die italienische Sprache beigezogen werden (RR.2016.295, Verfahrensakten, Urkunde 35a, S. 1). Ausserdem gilt zu be- achten, dass die Beschwerde des Beschwerdeführers gegen den Ausliefe- rungsentscheid mit Entscheid des Bundesstrafgerichts vom 21. Juli 2017 ab- gewiesen wurde, wobei die dagegen vom Beschwerdeführer erhobene Be- schwerde an das Bundesgericht noch hängig ist (RR.2016.295, act. 17, 20). Wie der Beschwerdegegner zurecht ausführt (act. 3, Ziff. IV.2), ist bei dieser Sachlage im Unterschied zum Beginn des Auslieferungsverfahrens daher die Möglichkeit, nach Italien ausgeliefert zu werden, für den Beschwerdefüh- rer in unmittelbare Nähe gerückt. Dies umso mehr, als das Bundesgericht auf Beschwerden auf dem Gebiet der internationalen Rechtshilfe nur eintritt, wenn es sich um einen besonders bedeutenden Fall handelt (vgl. Art. 84 Abs. 2 BGG). Ob das Bundesgericht auf die hängige Beschwerde des Be- schwerdeführers eintreten wird, ist vorliegend nicht zu beurteilen. Aufgrund</w:t>
      </w:r>
    </w:p>
    <w:p>
      <w:r>
        <w:t>- 7 -</w:t>
      </w:r>
    </w:p>
    <w:p>
      <w:r>
        <w:t>des ihm in Italien gemachten Vorwurfs der Beteiligung an einer kriminellen Organisation droht dem Beschwerdeführer im Falle einer Verurteilung eine mehrjährige Freiheitsstrafe. Daher ist die Annahme des Beschwerdegeg- ners, dass sich die Fluchtmotivation des Beschwerdeführers aufgrund des veränderten Verfahrensstandes deutlich erhöht hat, die im Übrigen der kon- stanten Praxis des Bundesstrafgerichts entspricht (vgl. Entscheide des Bun- desstrafgerichts RH.2012.9 vom 23. August 2012, E. 5.3; RH.2014.15, RP.2014.72 vom 30. Oktober 2014, E. 5.4 und RH.2015.9 vom 9. Juni 2015, E. 6.3), nicht zu beanstanden. Daran vermag auch sein sinngemässes Vor- bringen, er habe trotz der Erhalt seines Reisepasses keine Anstalten getrof- fen, sich der Auslieferung zu entziehen, nichts zu ändern.</w:t>
      </w:r>
    </w:p>
    <w:p>
      <w:r>
        <w:t>Im Lichte der restriktiven Rechtsprechung zur Fluchtgefahr ist diese nach dem Gesagten als sehr hoch einzustufen. Im Gegensatz zur Ausgangslage zu Beginn des Auslieferungsverfahrens kann die erhöhte Fluchtgefahr nicht mehr durch Ersatzmassnahmen gebannt werden.</w:t>
      </w:r>
    </w:p>
    <w:p>
      <w:r>
        <w:rPr>
          <w:b/>
        </w:rPr>
        <w:t>E. 4.4</w:t>
      </w:r>
    </w:p>
    <w:p>
      <w:r>
        <w:t>Andere Gründe, welche eine Auslieferung offensichtlich auszuschliessen oder sonst zu einer Aufhebung der Auslieferungshaft zu führen vermöchten, werden weder geltend gemacht noch sind solche ersichtlich.</w:t>
      </w:r>
    </w:p>
    <w:p>
      <w:r>
        <w:rPr>
          <w:b/>
        </w:rPr>
        <w:t>E. 4.5</w:t>
      </w:r>
    </w:p>
    <w:p>
      <w:r>
        <w:t>Die Beschwerde erweist sich zusammenfassend als unbegründet und ist vollumfänglich abzuweisen.</w:t>
      </w:r>
    </w:p>
    <w:p>
      <w:r>
        <w:t>5.</w:t>
      </w:r>
    </w:p>
    <w:p>
      <w:r>
        <w:t>5.1 Mit Eingabe vom 4. August 2017 hat der Beschwerdeführer um Gewährung der unentgeltlichen Rechtspflege und Ernennung seines Rechtsvertreters zum unentgeltlichen Rechtsbeistand ersucht (act. 1).</w:t>
      </w:r>
    </w:p>
    <w:p>
      <w:r>
        <w:t>5.2 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w:t>
      </w:r>
    </w:p>
    <w:p>
      <w:r>
        <w:t>- 8 -</w:t>
      </w:r>
    </w:p>
    <w:p>
      <w:r>
        <w:t>Überlegung zu einem Prozess entschliessen würde (BGE 139 III 475 E. 2.2 S. 476 f.; 139 III 396 E. 1.2; 138 III 217 E. 2.2.4).</w:t>
      </w:r>
    </w:p>
    <w:p>
      <w:r>
        <w:t>5.3 Den vorstehenden Erwägungen ist zu entnehmen, dass sich die Beschwerde als aussichtslos erwies. Daher ist das Gesuch des Beschwerdeführers um Gewährung der unentgeltlichen Rechtspflege und Rechtsverbeiständung (RP.2017.49) bereits aus diesem Grund abzuweisen.</w:t>
      </w:r>
    </w:p>
    <w:p>
      <w:r>
        <w:t>5.4 Bei diesem Ausgang des Verfahrens sind die Gerichtskosten dem Be- schwerdeführer aufzuerlegen (Art. 63 Abs. 1 VwVG). Die Gerichtsgebühr ist auf Fr. 1'500.-- festzusetzen (Art. 63 Abs. 5 VwVG und Art. 73 StBOG sowie Art. 5 und 8 Abs. 3 lit. a des Reglements des Bundesstrafgerichts vom 31. August 2010 über die Kosten, Gebühren und Entschädigungen in Bun- desstrafverfahren [BStKR; SR 173.713.162]).</w:t>
      </w:r>
    </w:p>
    <w:p>
      <w:r>
        <w:t>- 9 -</w:t>
      </w:r>
    </w:p>
    <w:p>
      <w:r>
        <w:rPr>
          <w:b/>
        </w:rPr>
        <w:t>E. 6</w:t>
      </w:r>
    </w:p>
    <w:p>
      <w:r>
        <w:t>September 2016, E. 2; RH.2016.7 vom 2. August 2016, E. 4.2).</w:t>
      </w:r>
    </w:p>
    <w:p>
      <w:r>
        <w:t>Die ausnahmsweise zu gewährende Haftentlassung ist deshalb an strengere Voraussetzungen gebunden als der Verzicht auf die gewöhnliche Untersu- chungshaft in einem Strafverfahren oder die Entlassung aus einer solchen. Diese Regelung soll es der Schweiz ermöglichen, ihren staatsvertraglichen</w:t>
      </w:r>
    </w:p>
    <w:p>
      <w:r>
        <w:t>- 6 -</w:t>
      </w:r>
    </w:p>
    <w:p>
      <w:r>
        <w:t>Auslieferungspflichten nachzukommen (vgl. BGE 130 II 306 E. 2.2 und 2.3; 111 IV 108 E. 2; Entscheid des Bundesstrafgerichts RH.2015.14 vom 9. Ju- li 2015, E. 4.1). Die Rechtsprechung des Bundesgerichts ist hinsichtlich der Verneinung von Fluchtgefahr überaus restriktiv und misst der Erfüllung die- ser staatsvertraglichen Auslieferungspflichten im Vergleich zu den Interes- sen des Verfolgten ausserordentlich grosses Gewicht bei (vgl. BGE 130 II 306 E. 2 S. 310 ff. m.w.H.; Entscheid des Bundesstrafgerichts RH.2015.4 vom 23. Februar 2015, E. 5.2). So wurde beispielsweise die Möglichkeit ei- ner Verurteilung zu einer langen Freiheitsstrafe zur Verweigerung der Haft- entlassung als ausreichend betrachtet, obwohl der Verfolgte über eine Nie- derlassungsbewilligung verfügte, seit 18 Jahren in der Schweiz lebte, mit ei- ner Schweizerin verheiratet und Vater zweier Kinder im Alter von 3 und</w:t>
      </w:r>
    </w:p>
    <w:p>
      <w:r>
        <w:rPr>
          <w:b/>
        </w:rPr>
        <w:t>E. 8</w:t>
      </w:r>
    </w:p>
    <w:p>
      <w:r>
        <w:t>Jahren war und die beiden Kinder die schweizerische Nationalität besassen (Urteil des Bundesgerichts 8G.45/2001 vom 15. August 2001, E. 3a). Ebenso wurde Fluchtgefahr bei einem Verfolgten bejaht, der seit sei- nem 17. Lebensjahr seit 10 Jahren ununterbrochen in der Schweiz lebte und seine Freundin wie auch den Freundeskreis hier hatte (Entscheid des Bun- desstrafgerichts BH.2006.4 vom 21. März 2006, E.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