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RH.2017.12 vom 16. August 2017</w:t>
      </w:r>
    </w:p>
    <w:p>
      <w:r>
        <w:t>Bundesstrafgericht, 2017-08-16, DE</w:t>
      </w:r>
    </w:p>
    <w:p>
      <w:r>
        <w:rPr>
          <w:b/>
        </w:rPr>
        <w:t xml:space="preserve">Quelle: </w:t>
      </w:r>
      <w:r>
        <w:t>https://mcp.opencaselaw.ch/entscheid/bstger_RH.2017.12</w:t>
      </w:r>
    </w:p>
    <w:p>
      <w:r>
        <w:t>FR: TPF RH.2017.12 du 16 août 2017</w:t>
      </w:r>
    </w:p>
    <w:p>
      <w:r>
        <w:t>IT: TPF RH.2017.12 del 16 agosto 2017</w:t>
      </w:r>
    </w:p>
    <w:p>
      <w:pPr>
        <w:pStyle w:val="Heading2"/>
      </w:pPr>
      <w:r>
        <w:t>Regeste</w:t>
      </w:r>
    </w:p>
    <w:p>
      <w:r>
        <w:t>Auslieferung an Italien. Auslieferungshaftbefehl (Art. 48 Abs. 2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 136 IV 88 E. 3.1 S. 89), wobei die zwischen den Ver- tragsparteien geltenden weitergehenden Bestimmungen aufgrund bilateraler Abkommen unberührt bleiben (Art. 59 Abs. 2 SDÜ).</w:t>
      </w:r>
    </w:p>
    <w:p>
      <w:r>
        <w:rPr>
          <w:b/>
        </w:rPr>
        <w:t>E. 1.2</w:t>
      </w:r>
    </w:p>
    <w:p>
      <w:r>
        <w:t>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w:t>
      </w:r>
    </w:p>
    <w:p>
      <w:r>
        <w:t>- 4 -</w:t>
      </w:r>
    </w:p>
    <w:p>
      <w:r>
        <w:t>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der Rechtsvertreterin des Beschwerdeführers am 31. Juli 2017 schriftlich eröffnet (act. 1, S. 2). Seine am 3. August 2017 erhobene Beschwerde erweist sich damit als fristgerecht. Die übrigen Eintretensvoraussetzungen geben keinen Anlass zu weiteren Bemerkungen. Auf die Beschwerde ist demnach einzutreten.</w:t>
      </w:r>
    </w:p>
    <w:p>
      <w:r>
        <w:rPr>
          <w:b/>
        </w:rPr>
        <w:t>E. 2.3</w:t>
      </w:r>
    </w:p>
    <w:p>
      <w:r>
        <w:t>Gemäss Art. 33a Abs. 2 VwVG ist im Beschwerdeverfahren die Sprache des angefochtenen Entscheids massgebend. Verwenden die Parteien eine an- dere Amtssprache, so kann das Verfahren in dieser Sprache geführt werden. Der angefochtene Auslieferungshaftbefehl erfolgte in italienischer Sprache. Indes reichten die Parteien sämtliche Eingaben in Deutsch ein (act. 1, 3, 4). Ausserdem erfolgte sowohl das Auslieferungsverfahren vor dem Beschwer- degegner als auch das daraufhin bei der Beschwerdekammer geführte Be- schwerdeverfahren RR.2016.260 gegen die Auslieferung des Beschwerde- führers in deutscher Sprache. Zudem wird der Beschwerdeführer weiterhin von einer deutschsprachigen Rechtsvertreterin verbeiständet. Aus diesen Gründen erfolgt der vorliegende Entscheid in deutscher Sprache.</w:t>
      </w:r>
    </w:p>
    <w:p>
      <w:r>
        <w:rPr>
          <w:b/>
        </w:rPr>
        <w:t>E. 3.1</w:t>
      </w:r>
    </w:p>
    <w:p>
      <w:r>
        <w:t>Der Beschwerdeführer bestreitet das Vorliegen von Fluchtgefahr. Diese habe sich aufgrund des Entscheids der Beschwerdekammer vom 21. Ju- li 2017 nicht verändert. Hätte er sich der Auslieferung entziehen wollen, hätte er dies längst tun können. Ausserdem leben seine Familie und seine engsten Freunde in der Schweiz. Eine Flucht sei aus persönlichen, medizinischen und finanziellen Gründen ausgeschlossen. Ausserdem würde er nicht in ein Land flüchten, das um seine Auslieferung ersucht habe. Die geleistete Si- cherheitsleistung erfülle nach wie vor ihren Zweck, weshalb seine Inhaftie- rung unnötig und unverhältnismässig sei (act. 1, S. 5 f.; act. 4, S. 3 ff.)</w:t>
      </w:r>
    </w:p>
    <w:p>
      <w:r>
        <w:rPr>
          <w:b/>
        </w:rPr>
        <w:t>E. 3.2</w:t>
      </w:r>
    </w:p>
    <w:p>
      <w:r>
        <w:t>Die Haft des Verfolgten während des ganzen Auslieferungsverfahrens bildet die Regel (BGE 136 IV 20 E. 2.2 S. 23; 130 II 306 E. 2.2 S. 309). Eine Auf- hebung des Auslieferungshaftbefehls sowie eine Haftentlassung rechtferti- gen sich nur ausnahmsweise und unter strengen Voraussetzungen, wenn der Verfolgte sich voraussichtlich der Auslieferung nicht entzieht und die Strafuntersuchung nicht gefährdet (Art. 47 Abs. 1 lit. a IRSG), wenn er den</w:t>
      </w:r>
    </w:p>
    <w:p>
      <w:r>
        <w:t>- 5 -</w:t>
      </w:r>
    </w:p>
    <w:p>
      <w:r>
        <w:t>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vgl. auch FORSTER, Basler Kommentar, Internationales Straf- recht, Basel 2015, Art. 47 IRSG N. 5 und 6). Diese Aufzählung ist nicht ab- schliessend (BGE 130 II 306 E. 2.1; 117 IV 359 E. 2a S. 361; vgl. auch Ent- scheide des Bundesstrafgerichts RH.2016.10 vom 6. September 2016, E. 2; RH.2016.7 vom 2. August 2016, 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 li 2015, E. 4.1). Die Rechtsprechung des Bundesgerichts ist hinsichtlich der Verneinung von Fluchtgefahr überaus restriktiv und misst der Erfüllung die- ser staatsvertraglichen Auslieferungspflichten im Vergleich zu den Interes- sen des Verfolgten ausserordentlich grosses Gewicht bei (vgl. BGE 130 II 306 E. 2 S. 310 ff. m.w.H.; Entscheid des Bundesstrafgerichts RH.2015.4 vom 23. Februar 2015, E. 5.2). So wurde beispielsweise die Möglichkeit ei- ner Verurteilung zu einer langen Freiheitsstrafe zur Verweigerung der Haft- entlassung als ausreichend betrachtet, obwohl der Verfolgte über eine Nie- derlassungsbewilligung verfügte, seit 18 Jahren in der Schweiz lebte, mit ei- ner Schweizerin verheiratet und Vater zweier Kinder im Alter von 3 und</w:t>
      </w:r>
    </w:p>
    <w:p>
      <w:r>
        <w:rPr>
          <w:b/>
        </w:rPr>
        <w:t>E. 3.3</w:t>
      </w:r>
    </w:p>
    <w:p>
      <w:r>
        <w:t>Eine effektive Verbindung des Beschwerdeführers zur Schweiz wird auf- grund seines langen Aufenthalts in der Schweiz sowie seiner hier lebenden Familie nicht in Frage gestellt. Indessen ist diese nicht dergestalt, dass des- halb die Fluchtgefahr zu verneinen wäre. Der Beschwerdeführer ist 62 Jahre alt und die erwähnten gesundheitlichen Beschwerden (act. 4, S. 4) vermö- gen ihn an Flucht bzw. Untertauchen nicht zu hindern. Der Beschwerdekam- mer ist aus dem Beschwerdeverfahren gegen den Auslieferungsentscheid</w:t>
      </w:r>
    </w:p>
    <w:p>
      <w:r>
        <w:t>- 6 -</w:t>
      </w:r>
    </w:p>
    <w:p>
      <w:r>
        <w:t>bekannt, dass der Beschwerdeführer trotz seines über vierzigjährigen Auf- enthalts in der Schweiz der deutschen Sprache nicht mächtig ist. Für die Einvernahme vom 8. März 2016 musste eine übersetzende Person für die italienische Sprache beigezogen werden (RR.2016.260, Verfahrensakten, Urkunde 25, S. 1). Ausserdem gilt zu beachten, dass die Beschwerde des Beschwerdeführers gegen den Auslieferungsentscheid mit Entscheid des Bundesstrafgerichts vom 21. Juli 2017 abgewiesen wurde, wobei die dage- gen vom Beschwerdeführer erhobene Beschwerde an das Bundesgericht noch hängig ist (RR.2016.260, act. 12, 15). Wie der Beschwerdegegner zu- recht ausführt (act. 3, Ziff. IV.1), ist bei dieser Sachlage im Unterschied zum Beginn des Auslieferungsverfahrens daher die Möglichkeit, nach Italien aus- geliefert zu werden, für den Beschwerdeführer in unmittelbare Nähe gerückt. Dies umso mehr, als das Bundesgericht auf Beschwerden auf dem Gebiet der internationalen Rechtshilfe nur eintritt, wenn es sich um einen besonders bedeutenden Fall handelt (vgl. Art. 84 Abs. 2 BGG). Ob das Bundesgericht auf die hängige Beschwerde des Beschwerdeführers eintreten wird, ist vor- liegend nicht zu beurteilen. Aufgrund des ihm in Italien gemachten Vorwurfs der Beteiligung an einer kriminellen Organisation droht dem Beschwerdefüh- rer im Falle einer Verurteilung eine mehrjährige Freiheitsstrafe. Daher ist die Annahme des Beschwerdegegners, dass sich die Fluchtmotivation des Be- schwerdeführers aufgrund des veränderten Verfahrensstandes deutlich er- höht hat, die im Übrigen der konstanten Praxis des Bundesstrafgerichts ent- spricht (vgl. Entscheide des Bundesstrafgerichts RH.2012.9 vom 23. Au- gust 2012, E. 5.3; RH.2014.15, RP.2014.72 vom 30. Oktober 2014, E. 5.4 und RH.2015.9 vom 9. Juni 2015, E. 6.3), nicht zu beanstanden.</w:t>
      </w:r>
    </w:p>
    <w:p>
      <w:r>
        <w:t>Im Lichte der restriktiven Rechtsprechung zur Fluchtgefahr ist diese nach dem Gesagten als sehr hoch einzustufen. Im Gegensatz zur Ausgangslage zu Beginn des Auslieferungsverfahrens kann die erhöhte Fluchtgefahr nicht mehr durch Ersatzmassnahmen gebannt werden.</w:t>
      </w:r>
    </w:p>
    <w:p>
      <w:r>
        <w:rPr>
          <w:b/>
        </w:rPr>
        <w:t>E. 3.4</w:t>
      </w:r>
    </w:p>
    <w:p>
      <w:r>
        <w:t>Andere Gründe, welche eine Auslieferung offensichtlich auszuschliessen oder sonst zu einer Aufhebung der Auslieferungshaft zu führen vermöchten, werden weder geltend gemacht noch sind solche ersichtlich.</w:t>
      </w:r>
    </w:p>
    <w:p>
      <w:r>
        <w:t>4.</w:t>
      </w:r>
    </w:p>
    <w:p>
      <w:r>
        <w:t>4.1 Schliesslich beantragt der Beschwerdeführer, die im März 2016 geleistete Kautionszahlung sei ihm zurückzubezahlen und sämtliche Ersatzmassnah- men seien aufzuheben (act. 1, S. 6 f.).</w:t>
      </w:r>
    </w:p>
    <w:p>
      <w:r>
        <w:t>- 7 -</w:t>
      </w:r>
    </w:p>
    <w:p>
      <w:r>
        <w:t>4.2 Der Beschwerdegegner hat in seiner Beschwerdeantwort vom 10. Au- gust 2017 erklärt, die geleistete Kaution werde dem Beschwerdeführer in den kommenden Tagen zurückbezahlt (act. 3, Ziff. IV.2). Der Beschwerde- gegner hat sich über die Rückzahlung der Kaution bis dato in keinem be- schwerdefähigen Entscheid ausgesprochen, weshalb das angerufene Ge- richt diese Frage nicht erstinstanzlich zu beurteilen hat, mithin auf den dies- bezüglichen Antrag nicht einzutreten ist. Es sei jedoch angemerkt, dass mit der Inhaftierung des Beschwerdeführers die im März 2016 abgeschlossene Kautionsvereinbarung ihre Geltung verloren hat. Mithin scheint die Rückzah- lung der Kaution und die Aufhebung der angeordneten Ersatzmassnahmen als folgerichtig, sofern diese nicht bereits aufgrund ihrer Natur dahingefallen sind.</w:t>
      </w:r>
    </w:p>
    <w:p>
      <w:r>
        <w:t>5. Die Beschwerde erweist sich zusammenfassend als unbegründet und ist vollumfänglich abzuweisen, soweit darauf einzutreten ist.</w:t>
      </w:r>
    </w:p>
    <w:p>
      <w:r>
        <w:t>6. Bei diesem Ausgang des Verfahrens sind die Gerichtskosten dem Be- schwerdeführer aufzuerlegen (Art. 63 Abs. 1 VwVG). Die Gerichtsgebühr ist auf Fr. 1'500.-- festzusetzen (Art. 63 Abs. 5 VwVG und Art. 73 StBOG sowie Art. 5 und 8 Abs. 3 lit. a des Reglements des Bundesstrafgerichts vom 31. August 2010 über die Kosten, Gebühren und Entschädigungen in Bun- desstrafverfahren [BStKR; SR 173.713.162]).</w:t>
      </w:r>
    </w:p>
    <w:p>
      <w:r>
        <w:t>- 8 -</w:t>
      </w:r>
    </w:p>
    <w:p>
      <w:r>
        <w:rPr>
          <w:b/>
        </w:rPr>
        <w:t>E. 8</w:t>
      </w:r>
    </w:p>
    <w:p>
      <w:r>
        <w:t>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