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RH.2017.1 vom 23. Januar 2017</w:t>
      </w:r>
    </w:p>
    <w:p>
      <w:r>
        <w:t>Bundesstrafgericht, 2017-01-23, DE</w:t>
      </w:r>
    </w:p>
    <w:p>
      <w:r>
        <w:rPr>
          <w:b/>
        </w:rPr>
        <w:t xml:space="preserve">Quelle: </w:t>
      </w:r>
      <w:r>
        <w:t>https://mcp.opencaselaw.ch/entscheid/bstger_RH.2017.1</w:t>
      </w:r>
    </w:p>
    <w:p>
      <w:r>
        <w:t>FR: TPF RH.2017.1 du 23 janvier 2017</w:t>
      </w:r>
    </w:p>
    <w:p>
      <w:r>
        <w:t>IT: TPF RH.2017.1 del 23 gennaio 2017</w:t>
      </w:r>
    </w:p>
    <w:p>
      <w:pPr>
        <w:pStyle w:val="Heading2"/>
      </w:pPr>
      <w:r>
        <w:t>Regeste</w:t>
      </w:r>
    </w:p>
    <w:p>
      <w:r>
        <w:t>Auslieferung an Deutschland. Auslieferungshaftbefehl (Art. 48 Abs. 2 IRSG).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0454.13), welchen beide Staaten beigetreten sind, sowie der Ver- trag vom 13. November 1969 zwischen der Schweizerischen Eidgenossen- schaft und der Bundesrepublik Deutschland über die Ergänzung des EAUe und die Erleichterung seiner Anwendung (ZV EAUe; SR 0.353.913.61) massgebend. Ausserdem gelangen die Bestimmungen der Art. 59 ff. des Übereinkommens vom 19. Juni 1990 zur Durchführung des Übereinkom- mens von Schengen vom 14. Juni 1985 (Schengener Durchführungs- übereinkommen, SDÜ; Abl. L 239 vom 22. September 2000, S. 19 – 62) zur</w:t>
      </w:r>
    </w:p>
    <w:p>
      <w:r>
        <w:t>- 3 -</w:t>
      </w:r>
    </w:p>
    <w:p>
      <w:r>
        <w:t>Anwendung (BGE 136 IV 88 E. 3.1 S. 89), wobei die zwischen den Vertrags- parteien geltenden weitergehenden Bestimmungen aufgrund bilateraler Ab- kommen unberührt bleiben (Art. 59 Abs. 2 SDÜ).</w:t>
      </w:r>
    </w:p>
    <w:p>
      <w:r>
        <w:rPr>
          <w:b/>
        </w:rPr>
        <w:t>E. 1.2</w:t>
      </w:r>
    </w:p>
    <w:p>
      <w:r>
        <w:t>Soweit diese Staatsverträge bestimmte Fragen nicht abschliessend regeln, findet auf das Verfahren der Auslieferung und der vorläufigen Auslieferungs- haft ausschliesslich das Recht des ersuchten Staates Anwendung (Art. 22 EAUe), vorliegend also das Bundesgesetz vom 20. März 1981 (Rechtshilfe- gesetz, IRSG; SR 351.1) und die Verordnung vom 24. Februar 1982 über internationale Rechtshilfe in Strafsachen (Rechtshilfeverordnung, IRSV; SR 351.11). Das innerstaatliche Recht gelangt nach dem Günstigkeitsprinzip auch dann zur Anwendung, wenn dieses geringere Anforderungen an die Auslieferung stellt (BGE 142 IV 250 E. 3; 140 IV 123 E. 2 S. 126; 137 IV 33 E. 2.2.2 S. 40 f.; 136 IV 82 E. 3.1; 122 II 140 E. 2 S. 142). Vorbehalten bleibt die Wahrung der Menschenrechte (BGE 135 IV 212 E. 2.3; 123 II 595 E. 7c S. 617; TPF 2008 24 E. 1.1 S. 26).</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Der angefochtene Auslieferungshaftbefehl wurde dem Beschwerdeführer am 4. Januar 2016 eröffnet (act. 5.5 S. 2 f.). Seine am 5. Januar 2017 erho- bene Beschwerde erweist sich als fristgerecht. Die übrigen Eintretens- voraussetzungen geben keinen Anlass zu weiteren Bemerkungen. Auf die Beschwerde ist demnach einzutreten.</w:t>
      </w:r>
    </w:p>
    <w:p>
      <w:r>
        <w:rPr>
          <w:b/>
        </w:rPr>
        <w:t>E. 3</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w:t>
      </w:r>
    </w:p>
    <w:p>
      <w:r>
        <w:t>- 4 -</w:t>
      </w:r>
    </w:p>
    <w:p>
      <w:r>
        <w:t>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 a. die Entscheide des Bundesstrafgerichts RH.2016.10 vom 6. September 2016, E. 2; RH.2016.7 vom 2. August 2016, E. 4.2).</w:t>
      </w:r>
    </w:p>
    <w:p>
      <w:r>
        <w:t>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LAURENT MOREILLON / MICHEL DUPUIS / MIRIAM MAZOU, La pratique judiciaire du Tribunal pénal fédéral, in Journal des Tribunaux 2009 IV 111 Nr. 190 und 2008 IV 66 Nr. 322 je m.w.H. auf die Rechtsprechung). 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und 2.3; 111 IV 108 E. 2; Entscheid des Bundesstrafgerichts RH.2015.14 vom 9. Juli 2015, E. 4.1).</w:t>
      </w:r>
    </w:p>
    <w:p>
      <w:r>
        <w:rPr>
          <w:b/>
        </w:rPr>
        <w:t>E. 4.1</w:t>
      </w:r>
    </w:p>
    <w:p>
      <w:r>
        <w:t>Gegen den Auslieferungshaftbefehl bringt der Beschwerdeführer zunächst vor, er habe die ihm vorgeworfenen Straftaten nicht begangen.</w:t>
      </w:r>
    </w:p>
    <w:p>
      <w:r>
        <w:rPr>
          <w:b/>
        </w:rPr>
        <w:t>E. 4.2</w:t>
      </w:r>
    </w:p>
    <w:p>
      <w:r>
        <w:t>Er verkennt damit, dass solche Einwendungen im Verfahren betreffend Aus- lieferungshaft nicht zu hören sind (s.o.). Zudem werden Schuld- und Tatfra- gen im Rahmen eines Auslieferungsverfahrens grundsätzlich nicht geprüft (vgl. z.B. BGE 133 IV 76 E. 2.2; 118 Ib 121 E. 5b; 117 Ib 64 E. 5c). Seine Beschwerde erweist sich in diesem Punkt als unbegründet.</w:t>
      </w:r>
    </w:p>
    <w:p>
      <w:r>
        <w:rPr>
          <w:b/>
        </w:rPr>
        <w:t>E. 5.1</w:t>
      </w:r>
    </w:p>
    <w:p>
      <w:r>
        <w:t>Der Beschwerdeführer macht weiter geltend, es bestehe keine Fluchtgefahr. Er sei mit seiner Partnerin und der gemeinsamen 13-jährigen Tochter in die Schweiz ausgewandert, weil er dieses Land liebe. Er arbeite hier als Ge-</w:t>
      </w:r>
    </w:p>
    <w:p>
      <w:r>
        <w:t>- 5 -</w:t>
      </w:r>
    </w:p>
    <w:p>
      <w:r>
        <w:t>schäftsführer einer AG und seine Familie habe sich sehr gut eingelebt. So- weit dennoch aus Sicht der Behörde eine Fluchtgefahr bejaht würde, sei er zu milderen Massnahmen wie Hausarrest und elektronischen Fussfesseln bereit (act. 1).</w:t>
      </w:r>
    </w:p>
    <w:p>
      <w:r>
        <w:rPr>
          <w:b/>
        </w:rPr>
        <w:t>E. 5.2</w:t>
      </w:r>
    </w:p>
    <w:p>
      <w:r>
        <w:t>Die konstante Rechtsprechung des Bundesgerichts und des Bundesstrafge- richts ist hinsichtlich der Verneinung von Fluchtgefahr beispielsweise aus fa- miliären Gründen überaus restriktiv und misst der Erfüllung der staatsver- traglichen Auslieferungspflichten im Vergleich zu den Interessen des Ver- folgten ausserordentlich grosses Gewicht bei (vgl. BGE 130 II 306 E. 2 S. 310 ff. m.w.H.; Entscheid des Bundesstrafgerichts RH.2015.4 vom 23. Februar 2015, E. 5.2). Bei drohenden, hohen Freiheitsstrafen ist eine Flucht- gefahr gemäss der Rechtsprechung in der Regel selbst bei Niederlassungs- bewilligung und familiären Bindungen in der Schweiz gegeben (Urteil des Bundesgerichts 8G.45/2001 vom 15. August 2001, E. 3a). So wurde Flucht- gefahr bejaht bspw. bei einem Verfolgten, der seit seinem 17. Lebensjahr seit 10 Jahren ununterbrochen in der Schweiz lebte und seine Freundin wie auch den Freundeskreis hier hatte (Entscheid des Bundesstrafgerichts BH.2006.4 vom 21. März 2006, E. 2.2.1).</w:t>
      </w:r>
    </w:p>
    <w:p>
      <w:r>
        <w:rPr>
          <w:b/>
        </w:rPr>
        <w:t>E. 5.3</w:t>
      </w:r>
    </w:p>
    <w:p>
      <w:r>
        <w:t>Im Lichte dieser restriktiven Praxis ist vorliegend ohne Weiteres von Flucht- gefahr auszugehen. Wie das BJ zu Recht erwägt, hält sich der Beschwerde- führer erst seit Kurzem in der Schweiz auf, weshalb nicht von einer beson- ders engen Bindung zur Schweiz auszugehen ist. Dies gilt ebenfalls für seine Tochter und Partnerin. Ebenso wenig kann daher davon ausgegangen wer- den, dass diese familiäre Bindung in der Schweiz den Beschwerdeführer von einer Flucht abzuhalten vermag. In Deutschland droht ihm sodann eine mehrjährige Freiheitsstrafe. Die sich aus den genannten Umständen erge- bende Fluchtgefahr kann durch Ersatzmassnahmen nicht gebannt werden. Wie das BJ in seiner Beschwerdeantwort festhält, hat der Beschwerdeführer die Möglichkeit, auf entsprechenden Antrag, im Gefängnis - im Rahmen der üblichen Einschränkungen - Besuch von Verwandten und Geschäftspartnern zu erhalten, um seine privaten und geschäftlichen Angelegenheiten zu re- geln (act. 5 S. 3). Die Beschwerde erweist sich nach dem Gesagten auch im zweiten Punkt als unbegründet.</w:t>
      </w:r>
    </w:p>
    <w:p>
      <w:r>
        <w:rPr>
          <w:b/>
        </w:rPr>
        <w:t>E. 6</w:t>
      </w:r>
    </w:p>
    <w:p>
      <w:r>
        <w:t>Andere Gründe, welche eine Auslieferung offensichtlich auszuschliessen oder sonst zu einer Aufhebung der Auslieferungshaft zu führen vermöchten, werden weder geltend gemacht noch sind solche ersichtlich. Die Be- schwerde erweist sich zusammenfassend als unbegründet.</w:t>
      </w:r>
    </w:p>
    <w:p>
      <w:r>
        <w:t>- 6 -</w:t>
      </w:r>
    </w:p>
    <w:p>
      <w:r>
        <w:rPr>
          <w:b/>
        </w:rPr>
        <w:t>E. 7</w:t>
      </w:r>
    </w:p>
    <w:p>
      <w:r>
        <w:t>Bei diesem Ausgang des Verfahrens sind die Gerichtskosten dem Be- schwerdeführer aufzuerlegen (Art. 63 Abs. 1 VwVG). Die Gerichtsgebühr ist auf Fr. 1'500.-- festzusetzen (Art. 63 Abs. 5 VwVG und Art. 73 StBOG sowie Art. 5 und 8 Abs. 3 lit. a des Reglements des Bundesstrafgerichts vom 31. August 2010 über die Kosten, Gebühren und Entschädigungen in Bun- 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