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RH.2016.3 vom 28. April 2016</w:t>
      </w:r>
    </w:p>
    <w:p>
      <w:r>
        <w:t>Bundesstrafgericht, 2016-04-28, DE</w:t>
      </w:r>
    </w:p>
    <w:p>
      <w:r>
        <w:rPr>
          <w:b/>
        </w:rPr>
        <w:t xml:space="preserve">Quelle: </w:t>
      </w:r>
      <w:r>
        <w:t>https://mcp.opencaselaw.ch/entscheid/bstger_RH.2016.3</w:t>
      </w:r>
    </w:p>
    <w:p>
      <w:r>
        <w:t>FR: TPF RH.2016.3 du 28 avril 2016</w:t>
      </w:r>
    </w:p>
    <w:p>
      <w:r>
        <w:t>IT: TPF RH.2016.3 del 28 aprile 2016</w:t>
      </w:r>
    </w:p>
    <w:p>
      <w:pPr>
        <w:pStyle w:val="Heading2"/>
      </w:pPr>
      <w:r>
        <w:t>Regeste</w:t>
      </w:r>
    </w:p>
    <w:p>
      <w:r>
        <w:t>Auslieferung an Belgien. Auslieferungshaftbefehl (Art. 48 Abs. 2 IRSG).</w:t>
      </w:r>
    </w:p>
    <w:p>
      <w:pPr>
        <w:pStyle w:val="Heading2"/>
      </w:pPr>
      <w:r>
        <w:t>Erwägungen</w:t>
      </w:r>
    </w:p>
    <w:p>
      <w:r>
        <w:rPr>
          <w:b/>
        </w:rPr>
        <w:t>E. 1.1</w:t>
      </w:r>
    </w:p>
    <w:p>
      <w:r>
        <w:t>Für den Auslieferungsverkehr zwischen der Schweiz und Belgien sind primär das Europäische Auslieferungsübereinkommen vom 13. Dezember 1957 (EAUe; SR 0.353.1) sowie die beiden hierzu ergangenen Zusatzprotokolle vom 15. Oktober 1975 (ZPI EAUe; SR 0.353.11) und vom 17. März 1978 (ZPII EAUe; SR 0.353.12), welchen beide Staaten beigetreten sind, mass- gebend. Ausserdem gelangen die Bestimmungen der Art. 59 ff. des Über- einkommens vom 19. Juni 1990 zur Durchführung des Übereinkommens von</w:t>
      </w:r>
    </w:p>
    <w:p>
      <w:r>
        <w:t>- 3 -</w:t>
      </w:r>
    </w:p>
    <w:p>
      <w:r>
        <w:t>Schengen vom 14. Juni 1985 (Schengener Durchführungsübereinkommen, SDÜ; Abl. L239 vom 22. September 2000, S. 19 – 62) zur Anwendung (BGE 136 IV 88 E. 3.1 S. 89).</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140 IV 123 E. 2 S. 126; 137 IV 33 E. 2.2.2 S. 40 f.; 136 IV 82 E. 3.1; 122 II 140 E. 2 S. 142). Vorbehalten bleibt die Wahrung der Menschenrechte (BGE 135 IV 212 E. 2.3; 123 II 595 E. 7c S. 617;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StBOG).</w:t>
      </w:r>
    </w:p>
    <w:p>
      <w:r>
        <w:rPr>
          <w:b/>
        </w:rPr>
        <w:t>E. 2.2</w:t>
      </w:r>
    </w:p>
    <w:p>
      <w:r>
        <w:t>Der angefochtene Auslieferungshaftbefehl wurde dem Beschwerdeführer am 5. April 2016 schriftlich eröffnet (act. 1.1). Seine am 14. April 2016 erho- bene Beschwerde erweist sich als fristgerecht. Die übrigen Eintretensvo- raussetzungen geben keinen Anlass zu weiteren Bemerkungen. Auf die Be- schwerde ist demnach einzutreten.</w:t>
      </w:r>
    </w:p>
    <w:p>
      <w:r>
        <w:rPr>
          <w:b/>
        </w:rPr>
        <w:t>E. 3.1</w:t>
      </w:r>
    </w:p>
    <w:p>
      <w:r>
        <w:t>Der Beschwerdeführer macht geltend, es bestehe keine Fluchtgefahr (act. 1, Rz. 3.1), zumal er der belgischen Polizei bereits im Februar 2014 seine be- vorstehende berufsbedingte Übersiedlung in die Schweiz unter Angabe sei- ner ersten Meldeadresse in Zürich mitgeteilt habe (act. 1, Rz. 2). Ausserdem seien den ersuchenden Behörden in Belgien massive Versäumnisse vorzu- werfen, müsse doch davon ausgegangen werden, das gesamte, mehrjährige</w:t>
      </w:r>
    </w:p>
    <w:p>
      <w:r>
        <w:t>- 4 -</w:t>
      </w:r>
    </w:p>
    <w:p>
      <w:r>
        <w:t>Strafverfahren gegen ihn sei ohne ernsthaften Versuch durchgeführt worden, ihn zu kontaktieren, rechtshilfeweise vorzuladen und ihm so Gelegenheit zu geben, seinen Anspruch auf rechtliches Gehör wahrzunehmen und sich zu verteidigen (act. 1, Rz. 3.2).</w:t>
      </w:r>
    </w:p>
    <w:p>
      <w:r>
        <w:rPr>
          <w:b/>
        </w:rPr>
        <w:t>E. 3.2</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RH.2015.28 vom 8. Januar 2016, E. 2.1).</w:t>
      </w:r>
    </w:p>
    <w:p>
      <w:r>
        <w:t>Die Rechtsprechung des Bundesgerichts ist hinsichtlich der Verneinung von Fluchtgefahr (beispielsweise aus familiären Gründen) überaus restriktiv und misst der Erfüllung der staatsvertraglichen Auslieferungspflichten im Ver- gleich zu den Interessen des Verfolgten ausserordentlich grosses Gewicht bei. Bei drohenden, hohen Freiheitsstrafen ist eine Fluchtgefahr gemäss der Rechtsprechung in der Regel trotz Niederlassungsbewilligung und familiären Bindungen in der Schweiz gegeben (Urteil des Bundesgerichts 8G.45/2001 vom 15. August 2001, E. 3a).</w:t>
      </w:r>
    </w:p>
    <w:p>
      <w:r>
        <w:rPr>
          <w:b/>
        </w:rPr>
        <w:t>E. 3.3</w:t>
      </w:r>
    </w:p>
    <w:p>
      <w:r>
        <w:t>Dem Beschwerdeführer droht im Falle seiner Auslieferung an Belgien eine erhebliche, unbedingt ausgefällte Freiheitsstrafe, wurde er doch in Abwesen- heit zu 30 Monaten verurteilt. Weiter befindet sich der Beschwerdeführer erst seit knapp über zwei Jahren in der Schweiz, wobei nicht ersichtlich ist, dass er hierzulande besonders enge geschäftliche oder private Bindungen auf- weist. Diesbezüglich bleibt auch sein Hinweis auf die notwendige Organisa- tion beruflicher, familiärer und sozialer Angelegenheiten (vgl. act. 5, Rz. 4) sehr vage. Die von ihm signalisierte Bereitschaft, sich dem belgischen Straf- verfahren zu stellen, steht zudem in Widerspruch zur Tatsache, dass er sich seiner Auslieferung nach Belgien widersetzt (vgl. act. 3.8, S. 3). Das BJ geht daher zu Recht vom Vorliegen einer hohen Fluchtgefahr aus. Diese wird noch erhöht wegen des vergleichsweise jungen Alters des Verfolgten von 30 Jahren und seines guten Gesundheitszustandes (vgl. act. 3.7; BGE 136 IV</w:t>
      </w:r>
    </w:p>
    <w:p>
      <w:r>
        <w:t>- 5 -</w:t>
      </w:r>
    </w:p>
    <w:p>
      <w:r>
        <w:t>20 E. 2.2 S. 23 f. mit Hinweis). Die vom Beschwerdeführer anerbotenen Er- satzmassnahmen wie Weisungen bezüglich Aufenthaltsort und Meldepflicht (vgl. act. 1, Rz. 3.2) sind nicht geeignet, die Fluchtgefahr erheblich zu min- dern, geschweige denn zu beseitigen.</w:t>
      </w:r>
    </w:p>
    <w:p>
      <w:r>
        <w:rPr>
          <w:b/>
        </w:rPr>
        <w:t>E. 3.4</w:t>
      </w:r>
    </w:p>
    <w:p>
      <w:r>
        <w:t>Gemäss den Angaben im Urteil, welches dem Auslieferungsersuchen zu Grunde liegt, habe der Beschwerdeführer im Zeitpunkt des Urteils in Belgien oder im Ausland keinen bekannten Wohnsitz gehabt. Weiter sei er durch Ge- richtsvollzieherurkunde vom 10. April 2015, zugestellt zu Handen des Pro- kurators des Königs, zur Sitzung vom 8. Juni 2015 vorgeladen worden, die- ser aber ferngeblieben (act. 3.3A). Diese Angaben lassen eine Auslieferung im jetzigen Zeitpunkt nicht als offensichtlich unzulässig im Sinne von Art. 51 Abs. 1 IRSG erscheinen. Die diesbezüglichen Einwände des Beschwerde- führers sind gegebenenfalls im Rahmen des Auslieferungsverfahrens zu prü- fen (vgl. BGE 130 II 306 E. 2.3).</w:t>
      </w:r>
    </w:p>
    <w:p>
      <w:r>
        <w:rPr>
          <w:b/>
        </w:rPr>
        <w:t>E. 3.5</w:t>
      </w:r>
    </w:p>
    <w:p>
      <w:r>
        <w:t>Stichhaltige Gründe, weshalb sich die vorliegend angeordnete Ausliefe- rungshaft als unzulässig oder als unverhältnismässig erweisen würde, wer- den vom Beschwerdeführer somit keine geltend gemacht. Den Akten können auch sonst keine solchen entnommen werden. Die Beschwerde erweist sich nach dem Gesagten als unbegründet, weshalb sie abzuweisen ist.</w:t>
      </w:r>
    </w:p>
    <w:p>
      <w:r>
        <w:rPr>
          <w:b/>
        </w:rPr>
        <w:t>E. 4</w:t>
      </w:r>
    </w:p>
    <w:p>
      <w:r>
        <w:t>Bei diesem Ausgang des Verfahrens sind die Gerichtskosten dem Be- schwerdeführer aufzuerlegen (Art. 63 Abs. 1 VwVG). Die Gerichtsgebühr ist auf Fr. 1'000.– festzusetzen (Art. 63 Abs. 5 VwVG und Art. 73 StBOG sowie Art. 5 und 8 Abs. 3 lit. a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