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RH.2016.2 vom 3. Mai 2016</w:t>
      </w:r>
    </w:p>
    <w:p>
      <w:r>
        <w:t>Bundesstrafgericht, 2016-05-03, DE</w:t>
      </w:r>
    </w:p>
    <w:p>
      <w:r>
        <w:rPr>
          <w:b/>
        </w:rPr>
        <w:t xml:space="preserve">Quelle: </w:t>
      </w:r>
      <w:r>
        <w:t>https://mcp.opencaselaw.ch/entscheid/bstger_RH.2016.2</w:t>
      </w:r>
    </w:p>
    <w:p>
      <w:r>
        <w:t>FR: TPF RH.2016.2 du 3 mai 2016</w:t>
      </w:r>
    </w:p>
    <w:p>
      <w:r>
        <w:t>IT: TPF RH.2016.2 del 3 maggio 2016</w:t>
      </w:r>
    </w:p>
    <w:p>
      <w:pPr>
        <w:pStyle w:val="Heading2"/>
      </w:pPr>
      <w:r>
        <w:t>Regeste</w:t>
      </w:r>
    </w:p>
    <w:p>
      <w:r>
        <w:t>Auslieferung an Ungarn. Auslieferungshaftbefehl (Art. 48 Abs. 2 IRSG).</w:t>
      </w:r>
    </w:p>
    <w:p>
      <w:pPr>
        <w:pStyle w:val="Heading2"/>
      </w:pPr>
      <w:r>
        <w:t>Erwägungen</w:t>
      </w:r>
    </w:p>
    <w:p>
      <w:r>
        <w:rPr>
          <w:b/>
        </w:rPr>
        <w:t>E. 1.1</w:t>
      </w:r>
    </w:p>
    <w:p>
      <w:r>
        <w:t>Für den Auslieferungsverkehr, mithin auch die Auslieferungshaft, zwischen der Schweiz und Ungarn sind primär massgebend das Europäische Auslieferungsübereinkommen vom 13. Dezember 1957 (EAUe; SR 0.353.1; vgl. ferner BGE 132 II 81 E. 3.2.3), das zu diesem Übereinkommen am 15. Oktober 1975 ergangene erste Zusatzprotokoll (1. ZP; SR 0.353.11), das zu diesem Übereinkommen am 17. März 1978 ergangene zweite Zusatzprotokoll (2. ZP; SR 0.353.12) sowie die Bestimmungen der Art. 59 ff. des Übereinkommens vom 19. Juni 1990 zur Durchführung des Übereinkommens von Schengen vom 14. Juni 1985 (Schengener Durchführungsübereinkommen, SDÜ; ABl. L 239 vom 22. September 2000, S. 19–62). Günstigere Bestimmungen bilateraler oder multilateraler Übereinkünfte zwischen den Vertragsparteien bleiben von diesen multilateralen Abkommen unberührt (Art. 28 Abs. 2 EAUe; Art. 48 Abs. 2 SDÜ; zum Ganzen ZIMMERMANN, La coopération judiciaire internationale en matière pénale, 4. Aufl., Bern 2014, N. 22 f., 28 ff., 75 ff.).</w:t>
      </w:r>
    </w:p>
    <w:p>
      <w:r>
        <w:rPr>
          <w:b/>
        </w:rPr>
        <w:t>E. 1.2</w:t>
      </w:r>
    </w:p>
    <w:p>
      <w:r>
        <w:t>Soweit diese Staatsverträge bestimmte Fragen nicht abschliessend regeln, findet auf das Verfahren der Auslieferung ausschliesslich das Recht des er- suchten Staates Anwendung (Art. 22 EAUe), vorliegend also das Bundesgesetz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dieses geringere Anforderungen an die Auslieferung stellt (BGE 140 IV 123 E. 2; 137 IV 33 E. 2.2.2; 136 IV 82 E. 3.1; 135 IV 212 E. 2.3; 122 II 140 E. 2; FIOLKA, Basler Kommentar, Internationales Strafrecht, Basel 2015, Art. 1 IRSG N. 24-30). Vorbehalten bleibt die Wahrung der Menschenrechte (BGE 139 II 65 E. 5.4 letzter Absatz; 135 IV 212 E. 2.3; 123 II 595 E. 7c).</w:t>
      </w:r>
    </w:p>
    <w:p>
      <w:r>
        <w:rPr>
          <w:b/>
        </w:rPr>
        <w:t>E. 1.3</w:t>
      </w:r>
    </w:p>
    <w:p>
      <w:r>
        <w:t>Verweist das IRSG direkt auf die Bestimmungen der StPO, so gelangen diese analog zur Anwendung (DANGUBIC/KESHELAVA, Basler Kommentar, Internationales Strafrecht, Basel 2015, Art. 12 IRSG N. 1). Mithin gelten gemäss Art. 48 Abs. 2 IRSG für das vorliegende Beschwerdeverfahren Art. 379–397 StPO sinngemäss. Fehlt es den obgenannten Staatsverträgen, dem IRSG und IRSV an weiteren einschlägigen prozessualen Regelungen, so sind in casu die Bestimmungen des Bundesgesetzes vom 20. Dezember 1968 über das Verwaltungsverfahren (Verwaltungsverfahrensgesetz,</w:t>
      </w:r>
    </w:p>
    <w:p>
      <w:r>
        <w:t>- 4 -</w:t>
      </w:r>
    </w:p>
    <w:p>
      <w:r>
        <w:t>VwVG; SR 172.021) anwendbar (Art. 39 Abs. 2 lit. b i.V.m. Art. 37 Abs. 2 lit. a StBOG).</w:t>
      </w:r>
    </w:p>
    <w:p>
      <w:r>
        <w:rPr>
          <w:b/>
        </w:rPr>
        <w:t>E. 2</w:t>
      </w:r>
    </w:p>
    <w:p>
      <w:r>
        <w:t>Gegen den Auslieferungshaftbefehl kann der Verfolgte innert zehn Tagen ab der schriftlichen Eröffnung Beschwerde bei der Beschwerdekammer des Bundesstrafgerichts führen (Art. 50 Abs. 3 i.V.m. Art. 48 Abs. 2 IRSG; Art. 37 Abs. 2 lit. a des Bundesgesetzes vom 19. März 2010 über die Organisation der Strafbehörden des Bundes [StBOG; SR 173.71]).</w:t>
      </w:r>
    </w:p>
    <w:p>
      <w:r>
        <w:t>Die Eintretensvoraussetzungen geben zu keinen Bemerkungen Anlass. Auf die Beschwerde ist demnach einzutreten.</w:t>
      </w:r>
    </w:p>
    <w:p>
      <w:r>
        <w:rPr>
          <w:b/>
        </w:rPr>
        <w:t>E. 2.2</w:t>
      </w:r>
    </w:p>
    <w:p>
      <w:r>
        <w:t>S. 23; 130 II 306 E. 2.2 S. 309). Eine Aufhebung des</w:t>
      </w:r>
    </w:p>
    <w:p>
      <w:r>
        <w:t>- 5 -</w:t>
      </w:r>
    </w:p>
    <w:p>
      <w:r>
        <w:t>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Auslieferung als offensichtlich unzulässig erweist (Art. 51 Abs. 1 IRSG; vgl. auch FORSTER, Basler Kommentar, Internationales Strafrecht, Basel 2015, Art. 47 IRSG N. 5 und 6). Offensichtlich unzulässig kann ein Auslieferungsersuchen sein, wenn ohne jeden Zweifel und ohne weitere Abklärungen ein Ausschlussgrund vorliegt (vgl. BGE 111 IV 108 E. 3a). Diese Aufzählung ist nicht abschliessend (BGE 130 II 306 E. 2.1; 117 IV 359 E. 2a S. 361).</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Im Übrigen sind Vorbringen gegen die Auslieferung als solche oder gegen die Begründetheit des Auslieferungsbegehrens nicht im vorliegenden Beschwerdeverfahren, sondern im eigentlichen Auslieferungs- verfahren zu prüfen (vgl. LAURENT MOREILLON/MICHEL DUPUIS / MIRIAM MAZOU, La pratique judiciaire du Tribunal pénal fédéral, in Journal des Tribunaux 2009 IV 111 Nr. 190 und 2008 IV 66 Nr. 322 je m.w.H. auf die Rechtsprechung).</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RH.2015.12 vom 25. Juni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bestreitet den ihm von den ungarischen Behörden zur Last gelegten Sachverhaltsvorwurf. Zudem macht er sinngemäss geltend, dass Ungarn keinen gültigen Haftbefehl gegen ihn erlassen habe (act. 1 und 5).</w:t>
      </w:r>
    </w:p>
    <w:p>
      <w:r>
        <w:rPr>
          <w:b/>
        </w:rPr>
        <w:t>E. 4.2</w:t>
      </w:r>
    </w:p>
    <w:p>
      <w:r>
        <w:t>Die Verhaftung des Beschuldigten während des ganzen Auslieferungs- verfahrens bildet die Regel (Art. 47 Abs. 1 Satz 1 IRSG; BGE 136 IV 20 E.</w:t>
      </w:r>
    </w:p>
    <w:p>
      <w:r>
        <w:rPr>
          <w:b/>
        </w:rPr>
        <w:t>E. 4.3</w:t>
      </w:r>
    </w:p>
    <w:p>
      <w:r>
        <w:t>Wie soeben dargelegt, vermag die Bestreitung des Sachverhalts keinen Haftentlassungsgrund zu begründen. Eine Aufhebung des Auslieferungs- haftbefehls und eine Haftentlassung rechtfertigen sich in diesem Zusammenhang lediglich dann, wenn der Verfolgte den sogenannten Alibibeweis erbringt. Einen solchen hat der Beschwerdeführer nicht erbracht. Der Einwand des Beschwerdeführers erweist sich somit als unbegründet. Weiter verkennt der Beschwerdeführer, dass Rügen betreffend die Gültigkeit von ausländischen Entscheiden vorliegend ebenfalls nicht zu hören sind.</w:t>
      </w:r>
    </w:p>
    <w:p>
      <w:r>
        <w:rPr>
          <w:b/>
        </w:rPr>
        <w:t>E. 4.4</w:t>
      </w:r>
    </w:p>
    <w:p>
      <w:r>
        <w:t>Im Übrigen ergeben sich keine Gründe, welche zur Annahme Anlass geben, die Voraussetzungen der Auslieferungshaft seien nicht erfüllt. Die Beschwerde ist somit abzuweisen.</w:t>
      </w:r>
    </w:p>
    <w:p>
      <w:r>
        <w:rPr>
          <w:b/>
        </w:rPr>
        <w:t>E. 5</w:t>
      </w:r>
    </w:p>
    <w:p>
      <w:r>
        <w:t>Bei diesem Ausgang des Verfahrens sind die Gerichtskosten dem Beschwerdeführer aufzuerlegen (Art. 63 Abs. 1 VwVG). Die Gerichtsgebühr</w:t>
      </w:r>
    </w:p>
    <w:p>
      <w:r>
        <w:t>- 6 -</w:t>
      </w:r>
    </w:p>
    <w:p>
      <w:r>
        <w:t>ist auf Fr. 1'000.-- festzusetzen (Art. 63 Abs. 5 VwVG und Art. 73 StBOG sowie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