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RH.2016.16 vom 23. Dezember 2016</w:t>
      </w:r>
    </w:p>
    <w:p>
      <w:r>
        <w:t>Bundesstrafgericht, 2016-12-23, DE</w:t>
      </w:r>
    </w:p>
    <w:p>
      <w:r>
        <w:rPr>
          <w:b/>
        </w:rPr>
        <w:t xml:space="preserve">Quelle: </w:t>
      </w:r>
      <w:r>
        <w:t>https://mcp.opencaselaw.ch/entscheid/bstger_RH.2016.16</w:t>
      </w:r>
    </w:p>
    <w:p>
      <w:r>
        <w:t>FR: TPF RH.2016.16 du 23 décembre 2016</w:t>
      </w:r>
    </w:p>
    <w:p>
      <w:r>
        <w:t>IT: TPF RH.2016.16 del 23 dicembre 2016</w:t>
      </w:r>
    </w:p>
    <w:p>
      <w:pPr>
        <w:pStyle w:val="Heading2"/>
      </w:pPr>
      <w:r>
        <w:t>Regeste</w:t>
      </w:r>
    </w:p>
    <w:p>
      <w:r>
        <w:t>Auslieferung an Deutschland. Auslieferungshaftbefehl (Art. 48 Abs. 2 IRSG).</w:t>
      </w:r>
    </w:p>
    <w:p>
      <w:pPr>
        <w:pStyle w:val="Heading2"/>
      </w:pPr>
      <w:r>
        <w:t>Volltext</w:t>
      </w:r>
    </w:p>
    <w:p>
      <w:r>
        <w:t>Entscheid vom 23. Dezember 2016 Beschwerdekammer Besetzung</w:t>
      </w:r>
    </w:p>
    <w:p>
      <w:r>
        <w:t>Bundesstrafrichter Stephan Blättler, Vorsitz, Tito Ponti und Giorgio Bomio, Gerichtsschreiber Stefan Graf</w:t>
      </w:r>
    </w:p>
    <w:p>
      <w:r>
        <w:t>Parteien</w:t>
      </w:r>
    </w:p>
    <w:p>
      <w:r>
        <w:t>A., c/o Kantonalgefängnis, Beschwerdeführerin</w:t>
      </w:r>
    </w:p>
    <w:p>
      <w:r>
        <w:t>gegen</w:t>
      </w:r>
    </w:p>
    <w:p>
      <w:r>
        <w:t>BUNDESAMT FÜR JUSTIZ, Fachbereich Ausliefe- rung, Beschwerdegegner</w:t>
      </w:r>
    </w:p>
    <w:p>
      <w:r>
        <w:t>Gegenstand</w:t>
      </w:r>
    </w:p>
    <w:p>
      <w:r>
        <w:t>Auslieferung an Deutschland</w:t>
      </w:r>
    </w:p>
    <w:p>
      <w:r>
        <w:t>Auslieferungshaftbefehl (Art. 48 Abs. 2 IRSG)</w:t>
      </w:r>
    </w:p>
    <w:p>
      <w:r>
        <w:t>B u n d e s s t r a f g e r i c h t T r i b u n a l p é n a l f é d é r a l T r i b u n a l e p e n a l e f e d e r a l e T r i b u n a l p e n a l f e d e r a l</w:t>
      </w:r>
    </w:p>
    <w:p>
      <w:r>
        <w:t>Geschäftsnummer: RH.2016.16</w:t>
      </w:r>
    </w:p>
    <w:p>
      <w:r>
        <w:t>- 2 -</w:t>
      </w:r>
    </w:p>
    <w:p>
      <w:r>
        <w:t>Die Beschwerdekammer hält fest, dass:</w:t>
      </w:r>
    </w:p>
    <w:p>
      <w:r>
        <w:t>- die deutschen Strafbehörden mit Ausschreibung vom 28. November 2016 im Schengener Informationssystem (SIS) um Festnahme der deutschen Staats- angehörigen A. zwecks Auslieferung ersuchten (vgl. act. 2, S. 1);</w:t>
      </w:r>
    </w:p>
    <w:p>
      <w:r>
        <w:t>- A. in provisorische Auslieferungshaft versetzt wurde und das Bundesamt für Justiz (nachfolgend «BJ») am 15. Dezember 2016 gegenüber A. einen Aus- lieferungshaftbefehl erliess (act. 2);</w:t>
      </w:r>
    </w:p>
    <w:p>
      <w:r>
        <w:t>- A. hiergegen am 22. Dezember 2016 mit «Antrag und zugleich Beschwerde» an die Beschwerdekammer des Bundesstrafgerichts gelangte, mit welchen sie beantragt, ihre in Deutschland verhängte Freiheitsstrafe in der Schweiz absitzen zu dürfen (act. 1).</w:t>
      </w:r>
    </w:p>
    <w:p>
      <w:r>
        <w:t>Die Beschwerdekammer zieht in Erwägung, dass:</w:t>
      </w:r>
    </w:p>
    <w:p>
      <w:r>
        <w:t>- die verfolgte Person gegen den Auslieferungshaftbefehl des BJ innert zehn Tagen ab der schriftlichen Eröffnung Beschwerde bei der Beschwerdekam- mer des Bundesstrafgerichts führen kann, wobei für das Beschwerdeverfah- ren die Art. 379–397 StPO sinngemäss gelten (Art. 48 Abs. 2 i.V.m. Art. 47 IRSG);</w:t>
      </w:r>
    </w:p>
    <w:p>
      <w:r>
        <w:t>- im Übrigen die allgemeinen Bestimmungen des IRSG und des VwVG gelten (vgl. Art. 39 Abs. 2 lit. b i.V.m. Art. 37 Abs. 2 lit. a Ziff. 1 StBOG);</w:t>
      </w:r>
    </w:p>
    <w:p>
      <w:r>
        <w:t>- die Verhaftung der verfolgten Person während des ganzen Auslieferungsver- fahrens die Regel bildet (BGE 136 IV 20 E. 2.2 S. 23; 130 II 306 E. 2.2 S. 309) und eine Aufhebung des Auslieferungshaftbefehls sowie eine Haft- entlassung sich nur ausnahmsweise und unter strengen Voraussetzungen rechtfertigen, wenn sich die verfolgte Person voraussichtlich der Ausliefe- rung nicht entzieht und die Strafuntersuchung nicht gefährdet (Art. 47 Abs. 1 lit. a IRSG), wenn sie den sogenannten Alibibeweis erbringen und ohne Ver- zug nachweisen kann, dass sie zur Zeit der Tat nicht am Tatort war (Art. 47 Abs. 1 lit. b IRSG), wenn sie nicht hafterstehungsfähig ist oder andere Gründe vorliegen, welche eine weniger einschneidende Massnahme recht- fertigen (Art. 47 Abs. 2 IRSG), oder wenn sich die Auslieferung als offen- sichtlich unzulässig erweist (Art. 51 Abs. 1 IRSG);</w:t>
      </w:r>
    </w:p>
    <w:p>
      <w:r>
        <w:t>- 3 -</w:t>
      </w:r>
    </w:p>
    <w:p>
      <w:r>
        <w:t>- diese Aufzählung nicht abschliessend ist (BGE 130 II 306 E. 2.1; 117 IV 359 E. 2a S. 361; vgl. zum Ganzen zuletzt u. a. den Entscheid des Bundesstraf- gerichts RH.2016.12 vom 26. Oktober 2016, E. 5.2);</w:t>
      </w:r>
    </w:p>
    <w:p>
      <w:r>
        <w:t>- die Beschwerdeführerin in ihrer Eingabe (act. 1) lediglich einen Einwand ge- gen eine Auslieferung nach Deutschland, nicht aber gegen den vorliegend angefochtenen Auslieferungshaftbefehl an sich vorbringt;</w:t>
      </w:r>
    </w:p>
    <w:p>
      <w:r>
        <w:t>- dieser Einwand gegebenenfalls im Rahmen des Auslieferungsverfahrens zu berücksichtigen ist, im Rahmen der hier vorzunehmenden Überprüfung des angefochtenen Auslieferungshaftbefehls die Auslieferung aber nicht als of- fensichtlich unzulässig im Sinne von Art. 51 Abs. 1 IRSG erscheinen lässt;</w:t>
      </w:r>
    </w:p>
    <w:p>
      <w:r>
        <w:t>- die Beschwerdeführerin somit keine stichhaltigen Gründe geltend macht, weshalb sich die vorliegend angeordnete Auslieferungshaft als unzulässig oder als unverhältnismässig erweisen würde;</w:t>
      </w:r>
    </w:p>
    <w:p>
      <w:r>
        <w:t>- den vorliegenden Akten auch sonst keine solchen Gründe entnommen wer- den können, weshalb sich die Beschwerde als offensichtlich unbegründet erweist und ohne Durchführung eines Schriftenwechsels abzuweisen ist (Art. 390 Abs. 2 StPO e contrario);</w:t>
      </w:r>
    </w:p>
    <w:p>
      <w:r>
        <w:t>- bei diesem Ausgang des Verfahrens die Gerichtskosten der Beschwerdefüh- rerin aufzuerlegen sind (Art. 63 Abs. 1 VwVG);</w:t>
      </w:r>
    </w:p>
    <w:p>
      <w:r>
        <w:t>- die Gerichtsgebühr auf Fr. 500.– festzusetzen ist (Art. 63 Abs. 5 VwVG und Art. 73 StBOG sowie Art. 5 und 8 des Reglements des Bundesstrafgerichts vom 31. August 2010 über die Kosten, Gebühren und Entschädigungen in Bundesstrafverfahren [BStKR; SR 173.713.162]);</w:t>
      </w:r>
    </w:p>
    <w:p>
      <w:r>
        <w:t>- 4 -</w:t>
      </w:r>
    </w:p>
    <w:p>
      <w:r>
        <w:t>und erkennt:</w:t>
      </w:r>
    </w:p>
    <w:p>
      <w:r>
        <w:t>1. Die Beschwerde wird abgewiesen.</w:t>
      </w:r>
    </w:p>
    <w:p>
      <w:r>
        <w:t>2. Die Gerichtsgebühr von Fr. 500.– wird der Beschwerdeführerin auferlegt.</w:t>
      </w:r>
    </w:p>
    <w:p>
      <w:r>
        <w:t>Bellinzona, 23. Dezember 2016</w:t>
      </w:r>
    </w:p>
    <w:p>
      <w:r>
        <w:t>Im Namen der Beschwerdekammer des Bundesstrafgerichts</w:t>
      </w:r>
    </w:p>
    <w:p>
      <w:r>
        <w:t>Der Präsident: Der Gerichtsschreiber:</w:t>
      </w:r>
    </w:p>
    <w:p>
      <w:r>
        <w:t>Zustellung an</w:t>
      </w:r>
    </w:p>
    <w:p>
      <w:r>
        <w:t>- A., c/o Kantonalgefängnis - Bundesamt für Justiz, Fachbereich Auslieferung</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