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RH.2016.11 vom 26. September 2016</w:t>
      </w:r>
    </w:p>
    <w:p>
      <w:r>
        <w:t>Bundesstrafgericht, 2016-09-26, DE</w:t>
      </w:r>
    </w:p>
    <w:p>
      <w:r>
        <w:rPr>
          <w:b/>
        </w:rPr>
        <w:t xml:space="preserve">Quelle: </w:t>
      </w:r>
      <w:r>
        <w:t>https://mcp.opencaselaw.ch/entscheid/bstger_RH.2016.11</w:t>
      </w:r>
    </w:p>
    <w:p>
      <w:r>
        <w:t>FR: TPF RH.2016.11 du 26 septembre 2016</w:t>
      </w:r>
    </w:p>
    <w:p>
      <w:r>
        <w:t>IT: TPF RH.2016.11 del 26 settembre 2016</w:t>
      </w:r>
    </w:p>
    <w:p>
      <w:pPr>
        <w:pStyle w:val="Heading2"/>
      </w:pPr>
      <w:r>
        <w:t>Regeste</w:t>
      </w:r>
    </w:p>
    <w:p>
      <w:r>
        <w:t>Auslieferung an Tschechien. Auslieferungshaftbefehl (Art. 48 Abs. 2 IRSG).</w:t>
      </w:r>
    </w:p>
    <w:p>
      <w:pPr>
        <w:pStyle w:val="Heading2"/>
      </w:pPr>
      <w:r>
        <w:t>Erwägungen</w:t>
      </w:r>
    </w:p>
    <w:p>
      <w:r>
        <w:rPr>
          <w:b/>
        </w:rPr>
        <w:t>E. 1.1</w:t>
      </w:r>
    </w:p>
    <w:p>
      <w:r>
        <w:t>Für den Auslieferungsverkehr zwischen der Schweiz und der Tschechischen Republik sind primär das Europäische Auslieferungsübereinkommen vom 13. Dezember 1957 (EAUe; SR 0.353.1) sowie die beiden hierzu ergange- nen Zusatzprotokolle vom 15. Oktober 1975 (ZPI EAUe; SR 0.353.11) und vom 17. März 1978 (ZPII EAUe; SR 0.353.12), welchen beide Staaten bei- getreten sind, massgebend. Ausserdem gelangen die Bestimmungen der Art. 59 ff. des Übereinkommens vom 19. Juni 1990 zur Durchführung des Übereinkommens von Schengen vom 14. Juni 1985 (Schengener Durchfüh- rungsübereinkommen, SDÜ; Abl. L239 vom 22. September 2000, S. 19 – 62) zur Anwendung (BGE 136 IV 88 E. 3.1 S. 89).</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140 IV 123 E. 2 S. 126; 137 IV 33 E. 2.2.2 S. 40 f.; 136 IV 82 E. 3.1; 122 II 140 E. 2 S. 142). Vorbehalten bleibt die Wahrung der Menschenrechte (BGE 135 IV 212 E. 2.3; 123 II 595 E. 7c S. 617;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30. August 2016 schriftlich eröffnet (act. 3.8). Seine am 9. Septem- ber 2016 erhobene Beschwerde erweist sich als fristgerecht. Die übrigen</w:t>
      </w:r>
    </w:p>
    <w:p>
      <w:r>
        <w:t>- 4 -</w:t>
      </w:r>
    </w:p>
    <w:p>
      <w:r>
        <w:t>Eintretensvoraussetzungen geben keinen Anlass zu weiteren Bemerkungen. Auf die Beschwerde ist demnach einzutreten.</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den Entscheid des Bundesstrafgerichts RH.2016.2 vom 3. Mai 2016, E. 4.2).</w:t>
      </w:r>
    </w:p>
    <w:p>
      <w:r>
        <w:rPr>
          <w:b/>
        </w:rPr>
        <w:t>E. 4.1</w:t>
      </w:r>
    </w:p>
    <w:p>
      <w:r>
        <w:t>Der Beschwerdeführer macht im Rahmen seiner Beschwerde geltend, in Tschechien sei nach wie vor ein Rechtsmittelverfahren hängig und es liesse sich noch nicht abschätzen, ob es tatsächlich bei seiner Verurteilung bleibe (act. 1, Ziff. 2; act. 4, Ziff. 1). Weiter bringt er vor, er habe seit rund dreissig Jahren seinen Wohnsitz in Italien, wo auch bereits ein Auslieferungsverfah- ren hängig sei. Die italienischen Behörden hätten sich bewusst dagegen ent- schieden, seiner Auslieferung zuzustimmen. Italien habe vor diesem Hinter- grund die Federführung betreffend weitere Anordnungen inne und in analo- ger Anwendung von Art. 47 Abs. 1 lit. a IRSG sei ein Absehen von der an- geordneten Auslieferungshaft angezeigt (act. 1, Ziff. 3). Schliesslich bestrei- tet der Beschwerdeführer seine Hafterstehungsfähigkeit (act. 1, Ziff. 4; act. 4, Ziff. 2).</w:t>
      </w:r>
    </w:p>
    <w:p>
      <w:r>
        <w:rPr>
          <w:b/>
        </w:rPr>
        <w:t>E. 4.2</w:t>
      </w:r>
    </w:p>
    <w:p>
      <w:r>
        <w:t>Die vorab erhobenen Einwendungen betreffend das Strafverfahren in der Tschechischen Republik (act. 1, Ziff. 2) sind gegebenenfalls im Ausliefe- rungsverfahren selber zu berücksichtigen. Im Rahmen der hier vorzuneh- menden Überprüfung des angefochtenen Auslieferungshaftbefehls lassen diese die Auslieferung jedenfalls nicht als offensichtlich unzulässig im Sinne von Art. 51 Abs. 1 IRSG erscheinen.</w:t>
      </w:r>
    </w:p>
    <w:p>
      <w:r>
        <w:t>- 5 -</w:t>
      </w:r>
    </w:p>
    <w:p>
      <w:r>
        <w:rPr>
          <w:b/>
        </w:rPr>
        <w:t>E. 4.3</w:t>
      </w:r>
    </w:p>
    <w:p>
      <w:r>
        <w:t>Das bereits in Italien hängige Auslieferungsverfahren betreffend kann den vom Beschwerdeführer eingereichten Akten (act. 1.3 – 1.6) nirgends ent- nommen werden, die italienischen Behörden hätten sich gegen eine Auslie- ferung des Beschwerdeführers entschieden. Zudem wird das von den tsche- chischen Behörden angekündigte Auslieferungsersuchen (vgl. act. 3.6) von den schweizerischen Behörden ohnehin gestützt auf schweizerisches Recht und gestützt auf eigene Sachverhaltsfeststellungen zu beurteilen sein (TPF 2015 68 E. 7.5). Die diesbezüglichen Einwände des Beschwerdefüh- rers erweisen sich vorliegend als unbegründet.</w:t>
      </w:r>
    </w:p>
    <w:p>
      <w:r>
        <w:rPr>
          <w:b/>
        </w:rPr>
        <w:t>E. 4.4</w:t>
      </w:r>
    </w:p>
    <w:p>
      <w:r>
        <w:t>Die vom Beschwerdeführer eingereichten Arztberichte (act. 1.8 bis 1.10) äussern sich mit keinem Wort zu seiner Hafterstehungsfähigkeit. Vielmehr besagt der aktuellste Arztbericht vom 22. Januar 2015, beim Beschwerde- führer sei in der Zeitspanne von Januar bis März 2014 eine Strahlenbehand- lung gegen Prostatakrebs vorgenommen worden, wobei der Beschwerde- führer sich zu regelmässigen Kontrollen zum Arzt begebe. Nach der Behand- lung bzw. nach der Operation bestehe eine partielle Inkontinenz beim Be- schwerdeführer und er sei anfällig für Infektionen der Harnwege. Zu besag- tem Zeitpunkt habe er sich aufgrund von Schwindelanfällen unter Beobach- tung befunden (act. 1.10b). Weiter wurde der Beschwerdeführer anlässlich und nach seiner Einvernahme ausdrücklich auf seine gesundheitliche Situa- tion angesprochen (act. 3.4, S. 2 f.; act. 3.5). Demzufolge gehe es ihm zurzeit nicht schlecht. Er warte auf einen Bescheid der Onkologie betreffend seinen PSA-Wert, der in Bezug auf mögliche Metastase aussagekräftig sei. Auch der Aktennotiz der Staatsanwaltschaft Schaffhausen mit dem zuständigen Gefängnisarzt können keine Angaben entnommen, welche an der Hafterste- hungsfähigkeit des Beschwerdeführers zweifeln lassen. Die derzeit notwen- dige medizinische Behandlung und Begleitung des Beschwerdeführers er- scheint gewährleistet (act. 3.9).</w:t>
      </w:r>
    </w:p>
    <w:p>
      <w:r>
        <w:rPr>
          <w:b/>
        </w:rPr>
        <w:t>E. 5</w:t>
      </w:r>
    </w:p>
    <w:p>
      <w:r>
        <w:t>Stichhaltige Gründe, weshalb sich die vorliegend angeordnete Ausliefe- rungshaft als unzulässig oder als unverhältnismässig erweisen würde, wer- den vom Beschwerdeführer somit keine geltend gemacht. Den Akten können auch sonst keine solchen entnommen werden. Die Beschwerde erweist sich nach dem Gesagten als unbegründet, weshalb sie abzuweisen ist.</w:t>
      </w:r>
    </w:p>
    <w:p>
      <w:r>
        <w:rPr>
          <w:b/>
        </w:rPr>
        <w:t>E. 6.1</w:t>
      </w:r>
    </w:p>
    <w:p>
      <w:r>
        <w:t>Die Beschwerdekammer befreit eine Partei, die nicht über die erforderlichen Mittel verfügt, auf Antrag von der Bezahlung der Verfahrenskosten, sofern ihr Begehren nicht aussichtslos erscheint (Art. 65 Abs. 1 VwVG) und bestellt</w:t>
      </w:r>
    </w:p>
    <w:p>
      <w:r>
        <w:t>- 6 -</w:t>
      </w:r>
    </w:p>
    <w:p>
      <w:r>
        <w:t>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6.2</w:t>
      </w:r>
    </w:p>
    <w:p>
      <w:r>
        <w:t>Anhand des oben Ausgeführten erwies sich die Beschwerde offensichtlich als aussichtslos im Sinne von Art. 65 Abs. 1 VwVG. Demzufolge ist das Ge- such des Beschwerdeführers um unentgeltliche Rechtspflege und Verbei- ständung ohne Überprüfung von dessen finanzieller Situation abzuweisen. Das Gesuch des Beschwerdeführers um Erstreckung der Frist zur Einrei- chung von Unterlagen zur Darlegung seiner finanziellen Situation ist dem- nach hinfällig (act. 4, Ziff. 3). Bei der Festsetzung der Spruchgebühr kann gemäss Art. 63 Abs. 4bis VwVG der womöglich schwierigen finanziellen Situ- ation des Beschwerdeführers Rechnung getragen werden.</w:t>
      </w:r>
    </w:p>
    <w:p>
      <w:r>
        <w:rPr>
          <w:b/>
        </w:rPr>
        <w:t>E. 7</w:t>
      </w:r>
    </w:p>
    <w:p>
      <w:r>
        <w:t>Bei diesem Ausgang des Verfahrens sind die Gerichtskosten dem Be- schwerdeführer aufzuerlegen (Art. 63 Abs. 1 VwVG). Die Gerichtsgebühr ist auf Fr. 1'000.– festzusetzen (Art. 63 Abs. 5 VwVG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