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RH.2016.10 vom 6. September 2016</w:t>
      </w:r>
    </w:p>
    <w:p>
      <w:r>
        <w:t>Bundesstrafgericht, 2016-09-06, FR</w:t>
      </w:r>
    </w:p>
    <w:p>
      <w:r>
        <w:rPr>
          <w:b/>
        </w:rPr>
        <w:t xml:space="preserve">Quelle: </w:t>
      </w:r>
      <w:r>
        <w:t>https://mcp.opencaselaw.ch/entscheid/bstger_RH.2016.10</w:t>
      </w:r>
    </w:p>
    <w:p>
      <w:r>
        <w:t>FR: TPF RH.2016.10 du 6 septembre 2016</w:t>
      </w:r>
    </w:p>
    <w:p>
      <w:r>
        <w:t>IT: TPF RH.2016.10 del 6 settembre 2016</w:t>
      </w:r>
    </w:p>
    <w:p>
      <w:pPr>
        <w:pStyle w:val="Heading2"/>
      </w:pPr>
      <w:r>
        <w:t>Regeste</w:t>
      </w:r>
    </w:p>
    <w:p>
      <w:r>
        <w:t>Extradition à l'Autriche. Mandat d'arrêt en vue d'extradition (art. 48 al. 2 EIMP). Assistance judiciaire (art. 65 PA).</w:t>
      </w:r>
    </w:p>
    <w:p>
      <w:pPr>
        <w:pStyle w:val="Heading2"/>
      </w:pPr>
      <w:r>
        <w:t>Erwägungen</w:t>
      </w:r>
    </w:p>
    <w:p>
      <w:r>
        <w:rPr>
          <w:b/>
        </w:rPr>
        <w:t>E. 1.1</w:t>
      </w:r>
    </w:p>
    <w:p>
      <w:r>
        <w:t>Les procédures d'extradition entre la Suisse et l’Autriche sont prioritairement régies par la Convention européenne d'extradition du 13 décembre 1957 (CEExtr; RS 0.353.1), par le Deuxième protocole additionnel à la Convention (RS 0.353.12) et par l'Accord du 13 juin 1972 entre la Confédération suisse et la République d'Autriche en vue de compléter la Convention européenne d'extradition du 13 décembre 1957 et de faciliter son application (RS 0.353.916.31). Les art. 59 ss de la Convention d'application de l'Accord Schengen du 14 juin 1985 (CAAS; n° CELEX 42000A0922(02); Journal officiel de l’Union européenne L 239 du 22 septembre 2000, p. 19 à 62) s’appliquent également à l’extradition entre l’Autriche et la Suisse (v. arrêt du Tribunal pénal fédéral RR.2008.296 du 17 décembre 2008, consid. 1.3). Les dispositions pertinentes du CAAS n’affectent pas l’application des dispositions plus larges des accords en vigueur entre l’Autriche et la Suisse (art. 59 par. 2 CAAS).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140 IV 123 consid. 2;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 à titre extraditionnel. Adressé, par la personne visée, dans les dix jours à compter de la notification du mandat d'arrêt (art. 48 al. 2 EIMP), le recours est formellement recevable.</w:t>
      </w:r>
    </w:p>
    <w:p>
      <w:r>
        <w:rPr>
          <w:b/>
        </w:rPr>
        <w:t>E. 2</w:t>
      </w:r>
    </w:p>
    <w:p>
      <w:r>
        <w:t>Selon la jurisprudence du Tribunal fédéral, la détention de l'accusé constitue la règle dans le cadre d'une procédure d'extradition (ATF 130 II 306 consid. 2.2; 117 IV 359 consid. 2a; 111 IV 108 consid. 2; 109 IV 159 consid. 1; 109 Ib 58 consid. 2). Exceptionnellement, le mandat d'arrêt en vue d'extradition peut être annulé, respectivement la mise en liberté ordonnée, s'il apparaît que la personne poursuivie ne se soustraira pas à l'extradition et n'entravera</w:t>
      </w:r>
    </w:p>
    <w:p>
      <w:r>
        <w:t>- 4 -</w:t>
      </w:r>
    </w:p>
    <w:p>
      <w:r>
        <w:t>pas l'instruction (art. 47 al. 1 let. a EIMP), si un alibi peut être fourni sans délai (art. 47 al. 1 let. b EIMP), si la personne poursuivie ne peut subir l'incarcération ou si d'autres motifs le justifient (art. 47 al. 2 EIMP), si la demande d'extradition et ses annexes ne sont pas fournies à temps (art. 50 al. 1 EIMP) ou si l'extradition est manifestement inadmissible (art. 51 al. 1 EIMP en corrélation avec les art. 2 à 5 EIMP); en outre, la détention en vue d'extradition est levée si l'extradition est refusée (art. 56 al. 2 EIMP) ou si l'Etat requérant ne prend pas en charge le détenu en temps utile (art. 61 EIMP a contrario; ATF 130 II 306 consid. 2.1; 117 IV 359 consid. 2a). La question de savoir si les conditions qui justifient l'annulation du mandat d'arrêt, respectivement l'élargissement au cours de la procédure d'extradition, sont remplies dans le cas concret doit être examinée selon des critères rigoureux, de manière à ne pas rendre illusoire l'engagement pris par la Suisse de remettre la personne poursuivie, en cas d'admission de la demande d'extradition, à l'Etat qui a fait cette demande (ATF 130 II 306 consid. 2.2; 111 IV 108 consid. 2; arrêt du Tribunal fédéral G.31/1995 du 21 juin 1995, consid. 1). C'est d'ailleurs le sens qu'il faut donner aux art. 47 ss EIMP, de l'organisation desquels il se déduit que la détention de l'accusé est la règle (ATF 111 IV 108 consid. 2). En particulier, selon la jurisprudence restrictive du Tribunal fédéral quant au risque de fuite (ATF 130 II 306 consid. 2), l'annulation du mandat d'arrêt en vue d'extradition, respectivement l'élargissement de la personne, ont été admis dans de rares cas (v. la casuistique présentée dans l'ATF 130 II 306 consid. 2.4), soit lorsque les détenus avaient développé des attaches familiales et professionnelles étroites et de longue durée avec la Suisse.</w:t>
      </w:r>
    </w:p>
    <w:p>
      <w:r>
        <w:rPr>
          <w:b/>
        </w:rPr>
        <w:t>E. 2.1</w:t>
      </w:r>
    </w:p>
    <w:p>
      <w:r>
        <w:t>En l’espèce, le recourant prétend avoir des liens étroits avec la Suisse. A., de nationalité sri lankaise, indique résider sur le territoire suisse depuis l’âge de 12 ans. Il explique être bénéficiaire d’un permis B depuis 1996 et être marié depuis 2004 avec une Suissesse. Les conjoints ont une fille, âgée actuellement de 3 ans. Ils se seraient séparés en juin 2015, mais le recourant entretiendrait toujours économiquement sa famille et jouerait un rôle prépondérant dans la garde de sa fille (act. 1, p. 4; act. 1.3). Le rattachement personnel du recourant à la Suisse est relativement important, au vu de la présence de son enfant sur le territoire helvétique. En revanche, il n’en va pas de même du point de vue professionnel. A. démontre uniquement avoir été engagé au sein d’une carrosserie depuis le 1er juillet 2016, soit depuis deux mois (act. 1.4). En outre, comme le souligne l’OFJ dans sa réponse, l’infraction reprochée au recourant comporte une peine- menace maximale de 10 ans, soit une peine de longue durée. Le recourant prétend que les autorités autrichiennes auraient affirmé que la peine qui sera prononcée à son encontre sera assortie d’un sursis, sans toutefois prouver</w:t>
      </w:r>
    </w:p>
    <w:p>
      <w:r>
        <w:t>- 5 -</w:t>
      </w:r>
    </w:p>
    <w:p>
      <w:r>
        <w:t>cette allégation (act. 4). En outre, le recourant n’a pas nié le fait d’avoir été présent sur les lieux de l’infraction aux côtés de son complice (act. 1.2, p. 2). Bien que son complice soit actuellement en détention, il ne peut être exclu que le recourant – soupçonné également être un membre d’une organisation criminelle – puisse bénéficier d’un soutien à l’étranger au cas où il s’enfuirait. Enfin, la possibilité que le recourant soit extradé est désormais concrète, une décision octroyant l’extradition ayant été rendue par l’OFJ le 26 août 2016 (act. 3.6). Tous ces éléments justifient le maintien en détention du recourant, le risque de fuite ne pouvant pas être écarté. Les arguments de A. selon lesquels sa libération se révélerait nécessaire, d’une part, étant donné que, sans son assistance économique, sa famille sombrerait dans la précarité et, d’autre part, vu les effets négatifs de son incarcération sur sa fille, ne suffisent pas pour justifier son élargissement.</w:t>
      </w:r>
    </w:p>
    <w:p>
      <w:r>
        <w:rPr>
          <w:b/>
        </w:rPr>
        <w:t>E. 2.2</w:t>
      </w:r>
    </w:p>
    <w:p>
      <w:r>
        <w:t>Il y a lieu de suivre l’OFJ également lorsqu’il a écarté la mise en œuvre de mesures de substitution, les considérant comme n'étant pas propres à réduire notablement le risque de fuite. A cet égard, le recourant dit être prêt à se tenir à disposition des autorités suisses, en se présentant au poste de police une fois par semaine. D’autre part, il propose de déposer ses papiers d'identité. Au vu de la suppression du contrôle systématique des personnes aux frontières suisses introduit en 2008, le contrôle s'effectuant désormais aux frontières de l'espace Schengen, la remise des documents d'identité du recourant ne saurait garantir que celui-ci ne quitte pas le territoire suisse (arrêt du Tribunal pénal fédéral RH.2015.22 du 13 octobre 2015, consid. 3.1.2). L’instauration de mesures de substitution de ce type est pour le reste d’autant plus risquée que les infractions reprochées au recourant portent justement sur la violation de règles transfrontalières. Le recourant n’est guère plus convaincant lorsqu’il propose de soumettre sa libération au paiement d’une caution, au vu de sa situation financière précaire. Même si sa famille serait prête à fournir son soutien financier, il n’appert pas que le montant atteint serait suffisant pour admettre la dissipation de tout risque de fuite. Au vu de ces éléments, la Cour de céans ne peut que confirmer le mandat d’arrêt en vue d'extradition du 3 août 2016.</w:t>
      </w:r>
    </w:p>
    <w:p>
      <w:r>
        <w:rPr>
          <w:b/>
        </w:rPr>
        <w:t>E. 3</w:t>
      </w:r>
    </w:p>
    <w:p>
      <w:r>
        <w:t>Il suit de ce qui précède que le recours est mal fondé.</w:t>
      </w:r>
    </w:p>
    <w:p>
      <w:r>
        <w:rPr>
          <w:b/>
        </w:rPr>
        <w:t>E. 4</w:t>
      </w:r>
    </w:p>
    <w:p>
      <w:r>
        <w:t>Le recourant sollicite l'octroi de l'assistance judiciaire.</w:t>
      </w:r>
    </w:p>
    <w:p>
      <w:r>
        <w:t>- 6 -</w:t>
      </w:r>
    </w:p>
    <w:p>
      <w:r>
        <w:rPr>
          <w:b/>
        </w:rPr>
        <w:t>E. 4.1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de la loi fédérale sur la procédure administrative [PA; RS 172.021], applicable par renvoi de l'art. 39 al. 2 let. b LOAP).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4.2</w:t>
      </w:r>
    </w:p>
    <w:p>
      <w:r>
        <w:t>Est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la demande (ATF 124 I 1; 120 Ia 179 consid. 3a et références citées), ce qui comprend d'une part toutes les obligations financières et, d'autre part, les revenus et la fortune (ATF 124 I 1 consid. 2a; 120 Ia 179 consid. 3a et références citées).</w:t>
      </w:r>
    </w:p>
    <w:p>
      <w:r>
        <w:rPr>
          <w:b/>
        </w:rPr>
        <w:t>E. 4.3</w:t>
      </w:r>
    </w:p>
    <w:p>
      <w:r>
        <w:t>En l'espèce, l'indigence du recourant ressort du formulaire d'assistance judiciaire rempli par celui-ci. Quant aux conclusions, on rappellera qu'elles doivent être considérées comme vouées à l'échec lorsque les risques de perdre l'emportent nettement sur les chances de gagner (arrêts du Tribunal pénal fédéral RR.2007.176 du 11 décembre 2007, consid. 3; RR.2007.31 du 21 mars 2007, consid. 3). Tel est le cas en l'espèce. Les motifs fournis à l'appui du recours se sont en effet avérés infondés eu égard à la jurisprudence constante en la matière. L'assistance judiciaire doit partant être refusée .</w:t>
      </w:r>
    </w:p>
    <w:p>
      <w:r>
        <w:rPr>
          <w:b/>
        </w:rPr>
        <w:t>E. 5</w:t>
      </w:r>
    </w:p>
    <w:p>
      <w:r>
        <w:t>Les frais de procédure sont mis à la charge du recourant qui succombe (art. 63 al. 1 PA). L'émolument judiciaire, calculé conformément aux art. 5 et 8 al. 3 du règlement du 31 août 2010 sur les frais, émoluments, dépens et indemnités de la procédure pénale fédérale (RFPPF; RS 173.713.162; v. art. 63 al. 5 PA) est fixé, compte tenu de la situation financière du recourant, à CHF 200.--.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