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RH.2015.7 vom 29. April 2015</w:t>
      </w:r>
    </w:p>
    <w:p>
      <w:r>
        <w:t>Bundesstrafgericht, 2015-04-29, DE</w:t>
      </w:r>
    </w:p>
    <w:p>
      <w:r>
        <w:rPr>
          <w:b/>
        </w:rPr>
        <w:t xml:space="preserve">Quelle: </w:t>
      </w:r>
      <w:r>
        <w:t>https://mcp.opencaselaw.ch/entscheid/bstger_RH.2015.7</w:t>
      </w:r>
    </w:p>
    <w:p>
      <w:r>
        <w:t>FR: TPF RH.2015.7 du 29 avril 2015</w:t>
      </w:r>
    </w:p>
    <w:p>
      <w:r>
        <w:t>IT: TPF RH.2015.7 del 29 aprile 2015</w:t>
      </w:r>
    </w:p>
    <w:p>
      <w:pPr>
        <w:pStyle w:val="Heading2"/>
      </w:pPr>
      <w:r>
        <w:t>Regeste</w:t>
      </w:r>
    </w:p>
    <w:p>
      <w:r>
        <w:t>Auslieferung an Italien. Auslieferungshaft (Art. 48 Abs. 2 IRSG).</w:t>
      </w:r>
    </w:p>
    <w:p>
      <w:pPr>
        <w:pStyle w:val="Heading2"/>
      </w:pPr>
      <w:r>
        <w:t>Erwägungen</w:t>
      </w:r>
    </w:p>
    <w:p>
      <w:r>
        <w:rPr>
          <w:b/>
        </w:rPr>
        <w:t>E. 1.1</w:t>
      </w:r>
    </w:p>
    <w:p>
      <w:r>
        <w:t>Für den Auslieferungsverkehr, mithin auch die Auslieferungshaft, zwischen der Schweiz und Italien sind primär das Europäische Auslieferungsübereinkommen vom 13. Dezember 1957 (EAUe, SR 0.353.1), das zu diesem Übereinkommen am 17. März 1978 ergangene zweite Zusatzprotokoll (2. ZP, SR 0.353.12) sowie die Bestimmungen der Art. 59 ff. des Übereinkommens vom 19. Juni 1990 zur Durchführung des Übereinkommens von Schengen vom 14. Juni 1985 (Schengener Durchführungsübereinkommen, SDÜ; ABl. L 239 vom 22. September 2000, S. 19 - 62) zwecks Ergänzung und Erleichterung der Anwendung des EAUe massgebend.</w:t>
      </w:r>
    </w:p>
    <w:p>
      <w:r>
        <w:rPr>
          <w:b/>
        </w:rPr>
        <w:t>E. 1.2</w:t>
      </w:r>
    </w:p>
    <w:p>
      <w:r>
        <w:t>Wo Übereinkommen und Zusatzprotokoll nichts anderes bestimmen,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137 I 33 E. 2.2.2; 136 IV 82</w:t>
      </w:r>
    </w:p>
    <w:p>
      <w:r>
        <w:t>- 4 -</w:t>
      </w:r>
    </w:p>
    <w:p>
      <w:r>
        <w:t>E. 3.1; 129 II 462 E. 1.1 S. 464; 122 II 140 E. 2 S. 142). Vorbehalten bleibt die Wahrung der Menschenrechte (BGE 135 IV 212 E. 2.3; 123 II 595 E. 7c). Gemäss Art. 48 Abs.</w:t>
      </w:r>
    </w:p>
    <w:p>
      <w:r>
        <w:rPr>
          <w:b/>
        </w:rPr>
        <w:t>E. 2</w:t>
      </w:r>
    </w:p>
    <w:p>
      <w:r>
        <w:t>IRSG gelten für das vorliegende Beschwerdeverfahren Art. 379–397 StPO sinngemäss.</w:t>
      </w:r>
    </w:p>
    <w:p>
      <w:r>
        <w:rPr>
          <w:b/>
        </w:rPr>
        <w:t>E. 2.1</w:t>
      </w:r>
    </w:p>
    <w:p>
      <w:r>
        <w:t>Gegen den Auslieferungshaftbefehl des BJ kann der Verfolgte innert zehn Tagen ab der schriftlichen Eröffnung Beschwerde bei der Beschwerdekammer des Bundesstrafgerichts führen (Art. 48 Abs. 2 IRSG i.V.m. Art. 47 IRSG; Art. 19 Abs. 1 des Organisationsreglements für das Bundesstrafgericht vom 31. August 2010 [BStGerOR; SR 173.713.161] i.V.m. Art. 37 Abs. 2 lit. a des Bundesgesetzes vom 19. März 2010 über die Organisation der Strafbehörden des Bundes [StBOG; SR 173.71]).</w:t>
      </w:r>
    </w:p>
    <w:p>
      <w:r>
        <w:rPr>
          <w:b/>
        </w:rPr>
        <w:t>E. 2.2</w:t>
      </w:r>
    </w:p>
    <w:p>
      <w:r>
        <w:t>Der angefochtene Auslieferungshaftbefehl wurde dem Beschwerdeführer am 1. April 2015 eröffnet. Seine Beschwerde vom 13. April 2015 ist damit fristgerecht. Die übrigen Eintretensvoraussetzungen geben keinen Anlass zu weiteren Bemerkungen. Auf die Beschwerde ist demnach einzutreten.</w:t>
      </w:r>
    </w:p>
    <w:p>
      <w:r>
        <w:rPr>
          <w:b/>
        </w:rPr>
        <w:t>E. 3</w:t>
      </w:r>
    </w:p>
    <w:p>
      <w:r>
        <w:t>Die Beschwerdekammer ist bei ihrem Entscheid weder an die Anträge noch an die Begründungen der Parteien gebunden (Art. 391 Abs. 1 lit. a und b StPO i.V.m. Art. 48 Abs. 2 IRSG). Sie prüft die Auslieferungshaftvoraussetzungen mit freier Kognition, befasst sich jedoch nur mit Tat- und Rechtsfragen, die Streitgegenstand der Beschwerde bilden (Entscheide des Bundesstrafgerichts RH.2012.10 vom 7. September 2012, E. 3; RH.2012.9 vom 23. August 2012, E. 3; jeweils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4.1</w:t>
      </w:r>
    </w:p>
    <w:p>
      <w:r>
        <w:t>Die Verhaftung des Beschuldigten während des ganzen Auslieferungsverfahrens bildet die Regel (BGE 136 IV 20 E. 2.2 S. 23; 130 II 306 E. 2.2 S. 309). Eine Aufhebung des Auslieferungshaftbefehls sowie eine Haftentlassung rechtfertigen sich nur ausnahmsweise, wenn der</w:t>
      </w:r>
    </w:p>
    <w:p>
      <w:r>
        <w:t>- 5 -</w:t>
      </w:r>
    </w:p>
    <w:p>
      <w:r>
        <w:t>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Entscheide des Bundesstrafgerichts RH.2014.5 vom 7. Mai 2014, E. 2.1; RH.2013.2 vom 13. März 2013, E. 3; RH.2012.16 vom 21. Dezember 2012, E. 2.1). Im Übrigen sind Vorbringen gegen die Auslieferung als solche oder gegen die Begründetheit des Auslieferungsbegehrens nicht im vorliegenden Beschwerdeverfahren, sondern im eigentlichen Auslieferungsverfahren zu prüfen (vgl. LAURENT MOREILLON/MICHEL DUPUIS/MIRIAM MAZOV, La pratique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Entlassung aus einer solchen (BGE 130 II 306 E. 2.2 und 2.3; 111 IV 108 E. 2).</w:t>
      </w:r>
    </w:p>
    <w:p>
      <w:r>
        <w:rPr>
          <w:b/>
        </w:rPr>
        <w:t>E. 4.2</w:t>
      </w:r>
    </w:p>
    <w:p>
      <w:r>
        <w:t>Der Beschwerdeführer rügt, dass auf dem Auslieferungshaftbefehl das Datum des italienischen Rechtshilfeersuchens fehle (act. 1 S. 3). Ein Auslieferungshaftbefehl enthält (Art. 48 Abs. 1 IRSG): Die Angaben der ausländischen Behörde über die Person des Verfolgten und die ihm zur Last gelegte Tat (lit. a.), die Bezeichnung der Behörde, die das Ersuchen gestellt hat (lit. b.), die Mitteilung, dass die Auslieferung verlangt wird (lit. c.) und den Hinweis auf das Recht zur Beschwerde nach Abs. 2 und zum Beizug eines Rechtsbeistandes (lit. d.). Aus der widergegebenen Bestimmung geht hervor, dass der Auslieferungshaftbefehl nicht das Datum des Rechtshilfeersuchens enthalten muss. Mithin zielt die Rüge des Beschwerdeführers ins Leere. Überdies würde ein Formfehler solcher Art wegen seiner Geringfügigkeit nicht zur Aufhebung des Auslieferungshaftbefehls führen.</w:t>
      </w:r>
    </w:p>
    <w:p>
      <w:r>
        <w:rPr>
          <w:b/>
        </w:rPr>
        <w:t>E. 4.3</w:t>
      </w:r>
    </w:p>
    <w:p>
      <w:r>
        <w:t>Der angefochtene Auslieferungshaftbefehl stützt sich auf den Haftbefehl vom 10. Dezember 2014 der Staatsanwaltschaft Turin. Aufgrund eines Schreibfehlers indizierte jedoch der Beschwerdegegner auf dem Auslieferungshaftbefehl, dass sich dieser auf den Haftbefehl vom 10. Dezember 2014 des Gerichts Mailand stütze. Der Beschwerdeführer</w:t>
      </w:r>
    </w:p>
    <w:p>
      <w:r>
        <w:t>- 6 -</w:t>
      </w:r>
    </w:p>
    <w:p>
      <w:r>
        <w:t>macht in diesem Zusammenhang geltend, dass der Haftbefehl vom 10. Dezember 2014 des Gerichts Mailand nicht in den Akten sei (act. 1 S. 3 und 4).</w:t>
      </w:r>
    </w:p>
    <w:p>
      <w:r>
        <w:t>Der Beschwerdeführer wird im eigentlichen Auslieferungsverfahren amtlich durch Rechtsanwalt Wiedler Friedmann vertreten. Dem Rechtsbeistand wurden sämtliche Auslieferungsakten zugestellt. Dieser hätte ohne Weiteres erkennen können bzw. hat dies konkret ja auch erkannt, dass sich der Auslieferungshaftbefehl auf den Haftbefehl vom 10. Dezember 2014 von der Staatsanwaltschaft Turin stützt - in der Beschwerde macht er Einwände gegen den Haftbefehl vom 10. Dezember 2014 von der Staatsanwaltschaft Turin (act. 1 S. 4). Aus diesem Grund erweist sich auch diese Rüge als unbegründet.</w:t>
      </w:r>
    </w:p>
    <w:p>
      <w:r>
        <w:rPr>
          <w:b/>
        </w:rPr>
        <w:t>E. 4.4</w:t>
      </w:r>
    </w:p>
    <w:p>
      <w:r>
        <w:t>Der Beschwerdeführer bringt weiter vor, dass Zweifel daran bestünden, dass die dem Auslieferungsersuchen beigelegten Unterlagen (Haftbefehle und Untersuchungsbericht) von der zuständigen Person erlassen worden seien (act. 1 S. 4). Mit dieser Argumentation verkennt er, dass Vorbringen gegen die Auslieferung als solche oder gegen die Begründetheit des Auslieferungsbegehrens im eigentlichen Auslieferungsverfahren zu prüfen sind (s. supra Ziff. 4). Seine Vorbringen allein lassen die Auslieferung jedenfalls nicht als offensichtlich unzulässig im Sinne von Art. 51 Abs. 1 IRSG erscheinen.</w:t>
      </w:r>
    </w:p>
    <w:p>
      <w:r>
        <w:rPr>
          <w:b/>
        </w:rPr>
        <w:t>E. 4.5</w:t>
      </w:r>
    </w:p>
    <w:p>
      <w:r>
        <w:t>Der Beschwerdeführer führt sodann aus, es bestünde keine Fluchtgefahr. Es seien gegen ihn auch in der Schweiz zwei Verfahren hängig. Er sei dabei den Strafverfolgungsbehörden stets zur Verfügung gestanden. Er sei zudem in der Schweiz geboren und habe ununterbrochen in der Schweiz gelebt. Seine Eltern und sein Bruder lebten auch in der Schweiz (act. 1 S. 5).</w:t>
      </w:r>
    </w:p>
    <w:p>
      <w:r>
        <w:rPr>
          <w:b/>
        </w:rPr>
        <w:t>E. 4.6</w:t>
      </w:r>
    </w:p>
    <w:p>
      <w:r>
        <w:t>Die Rechtsprechung des Bundesgerichts ist hinsichtlich der Verneinung von Fluchtgefahr beispielsweise aus familiären Gründen überaus restriktiv und misst der Erfüllung der staatsvertraglichen Auslieferungspflichten im Vergleich zu den Interessen des Verfolgten ausserordentlich grosses Gewicht bei (vgl. BGE 130 II 306 E. 2 S. 310 ff. m.w.H.; TPF 2008 61 E. 7; Entscheide des Bundesstrafgerichts BH.2005.45 vom 20. Dezember 2005, E. 2.2.2; BH.2005.8 vom 7. April 2005, E. 2.3; RR.2007.72 vom 29. Mai 2007, E. 4.2 und 4.3; RR.2007.174 vom 27. November 2007, E. 5.2; RR.2008.214 vom 16. September 2008, E. 3.2). Bei drohenden, hohen Freiheitsstrafen ist eine Fluchtgefahr gemäss der Rechtsprechung in der Regel trotz Niederlassungsbewilligung und familiären Bindungen in der Schweiz gegeben. So wurde beispielsweise die Möglichkeit einer Verurteilung zu einer langen Freiheitsstrafe als ausreichend zur Verweigerung der</w:t>
      </w:r>
    </w:p>
    <w:p>
      <w:r>
        <w:t>- 7 -</w:t>
      </w:r>
    </w:p>
    <w:p>
      <w:r>
        <w:t>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besassen und im Kanton Tessin eingeschult waren (Urteil des Bundesgerichts 8G.45/2001 vom 15. August 2001, E. 3a). Vor dem Hintergrund dieser strengen Rechtsprechung bejahte die Beschwerdekammer des Bundesstrafgerichts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Kindern im Alter von 1½, 3, 8 und 18 Jahren hatte (Entscheid des Bundesstrafgerichts BH.2005.8 vom 7. April 2005, E. 2.3) und bei einem Verfolgten, der seit seinem 17. Lebensjahr seit 10 Jahren ununterbrochen in der Schweiz lebte und seine Freundin wie auch den Freundeskreis hier hatte (Entscheid des Bundesstrafgerichts BH.2006.4 vom 21. März 2006, E. 2.2.1).</w:t>
      </w:r>
    </w:p>
    <w:p>
      <w:r>
        <w:rPr>
          <w:b/>
        </w:rPr>
        <w:t>E. 4.7</w:t>
      </w:r>
    </w:p>
    <w:p>
      <w:r>
        <w:t>Dem Beschwerdeführer wird in Italien die Beteiligung an einer kriminellen Organisation und Betrug vorgeworfen. Es droht ihm im Falle einer Verurteilung in Italien eine hohe Freiheitsstrafe (act. 3.3). Der Beschwerdeführer ist zwar in der Schweiz geboren und aufgewachsen. Er ist indessen weder verheiratet noch hat er in der Schweiz Kinder. Eine derart starke persönliche Bindung, welche die Motivation für ein Absetzen in einen Drittstaat im besonderen Masse reduziert, ist nicht zu erkennen. Vor diesem Hintergrund und angesichts der bezüglich der Annahme von Fluchtgefahr strengen Rechtsprechung kann vorliegend nicht angenommen werden, dass der Beschwerdeführer sich der Auslieferung voraussichtlich nicht entziehen werde. Der vorhandenen Fluchtgefahr kann auch mit den vom Beschwerdeführer vorgeschlagenen Ersatzmassnahmen (siehe supra lit. F.) nicht wirksam entgegnet werden. Die Beschwerde erweist sich auch in diesem Punkt als unbegründet.</w:t>
      </w:r>
    </w:p>
    <w:p>
      <w:r>
        <w:rPr>
          <w:b/>
        </w:rPr>
        <w:t>E. 5</w:t>
      </w:r>
    </w:p>
    <w:p>
      <w:r>
        <w:t>Aus dem Gesagten ergibt sich, dass die Beschwerde abzuweisen ist.</w:t>
      </w:r>
    </w:p>
    <w:p>
      <w:r>
        <w:rPr>
          <w:b/>
        </w:rPr>
        <w:t>E. 6.1</w:t>
      </w:r>
    </w:p>
    <w:p>
      <w:r>
        <w:t>Der Beschwerdeführer stellt das Gesuch um unentgeltliche Rechtspflege und Rechtsvertretung (RP.2015.20).</w:t>
      </w:r>
    </w:p>
    <w:p>
      <w:r>
        <w:t>- 8 -</w:t>
      </w:r>
    </w:p>
    <w:p>
      <w:r>
        <w:rPr>
          <w:b/>
        </w:rPr>
        <w:t>E. 6.2</w:t>
      </w:r>
    </w:p>
    <w:p>
      <w:r>
        <w:t>Die Beschwerdekammer befreit eine Partei, die nicht über die erforderlichen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Rechtsprechung sind Prozessbegehren als aussichtslos anzusehen, wenn die Gewinnaussichten beträchtlich geringer erscheinen als die Verlustgefahren. Dagegen gilt ein Begehren nicht aussichtslos, wenn sich Gewinnaussichten und Verlustgefahren ungefähr die Waage halten oder eine nur wenig geringer sind als diese (BGE 129 I 129 E. 2.3.1; 128 I 225 E. 2.5.3; 124 I 30 E. 2c).</w:t>
      </w:r>
    </w:p>
    <w:p>
      <w:r>
        <w:rPr>
          <w:b/>
        </w:rPr>
        <w:t>E. 6.3</w:t>
      </w:r>
    </w:p>
    <w:p>
      <w:r>
        <w:t>Den vorstehenden Erwägungen ist zu entnehmen, dass sich die Beschwerde als aussichtslos erweist. Folglich ist das Begehren des Beschwerdeführers um Gewährung der unentgeltlichen Rechtspflege und Rechtsvertretung bereits aus diesem Grunde abzuweisen.</w:t>
      </w:r>
    </w:p>
    <w:p>
      <w:r>
        <w:rPr>
          <w:b/>
        </w:rPr>
        <w:t>E. 7</w:t>
      </w:r>
    </w:p>
    <w:p>
      <w:r>
        <w:t>Bei diesem Ausgang des Verfahrens sind die Gerichtskosten dem Beschwerdeführer aufzuerlegen (Art. 63 Abs. 1 VwVG). Die Gerichtsgebühr ist auf Fr. 1'500.-- festzusetzen (Art. 63 Abs. 5 VwVG und Art. 73 StBOG sowie Art. 5 und 8 Abs. 3 lit. a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