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RH.2015.27 vom 16. März 2016</w:t>
      </w:r>
    </w:p>
    <w:p>
      <w:r>
        <w:t>Bundesstrafgericht, 2016-03-16, DE</w:t>
      </w:r>
    </w:p>
    <w:p>
      <w:r>
        <w:rPr>
          <w:b/>
        </w:rPr>
        <w:t xml:space="preserve">Quelle: </w:t>
      </w:r>
      <w:r>
        <w:t>https://mcp.opencaselaw.ch/entscheid/bstger_RH.2015.27</w:t>
      </w:r>
    </w:p>
    <w:p>
      <w:r>
        <w:t>FR: TPF RH.2015.27 du 16 mars 2016</w:t>
      </w:r>
    </w:p>
    <w:p>
      <w:r>
        <w:t>IT: TPF RH.2015.27 del 16 marzo 2016</w:t>
      </w:r>
    </w:p>
    <w:p>
      <w:pPr>
        <w:pStyle w:val="Heading2"/>
      </w:pPr>
      <w:r>
        <w:t>Regeste</w:t>
      </w:r>
    </w:p>
    <w:p>
      <w:r>
        <w:t>Auslieferung an Deutschland. Auslieferungshaftbefehl (Art. 48 Abs. 2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November 2015 und eine Haftanordnung des Bundesamtes für Justiz (nachfolgend "BJ") vom 26. November 2015 A. gleichentags festgenommen wurde (s. act. 3.3);</w:t>
      </w:r>
    </w:p>
    <w:p>
      <w:r>
        <w:t>- das BJ am 30. November 2015 gegen A. einen Auslieferungshaftbefehl er- liess (act. 3.2);</w:t>
      </w:r>
    </w:p>
    <w:p>
      <w:r>
        <w:t>- A. dagegen mit Beschwerde vom 4. Dezember 2015 an die Beschwerde- kammer des Bundesstrafgerichts gelangte (act. 1);</w:t>
      </w:r>
    </w:p>
    <w:p>
      <w:r>
        <w:t>- aufgrund einer Kautionsvereinbarung vom 10. Dezember 2015 (act. 7.2) A. am 11. Dezember 2015 aus der Auslieferungshaft entlassen wurde, worauf- hin er gleichentags seine Beschwerde zurückzog (act. 5);</w:t>
      </w:r>
    </w:p>
    <w:p>
      <w:r>
        <w:t>- das Beschwerdeverfahren daher zufolge Rückzugs der Beschwerde als er- ledigt abzuschreiben ist;</w:t>
      </w:r>
    </w:p>
    <w:p>
      <w:r>
        <w:t>- der Beschwerdeführer, der seine Beschwerde zurückzieht, grundsätzlich als unterliegende Partei zu gelten und folglich gemäss Art. 63 Abs. 1 VwVG i.V.m. Art. 39 Abs. 2 lit. b und Art. 37 Abs. 2 lit. a StBOG die Gerichtskosten zu tragen hat (Entscheide des Bundesstrafgerichts RR.2007.4 vom 6. März 2007 und RR.2007.70 vom 30. Mai 2007);</w:t>
      </w:r>
    </w:p>
    <w:p>
      <w:r>
        <w:t>- vorliegend auf die Erhebung einer Gerichtsgebühr zu verzichten ist (Art. 63 Abs. 1 letzter Satz VwVG);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