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RH.2015.2 vom 17. Februar 2015</w:t>
      </w:r>
    </w:p>
    <w:p>
      <w:r>
        <w:t>Bundesstrafgericht, 2015-02-17, DE</w:t>
      </w:r>
    </w:p>
    <w:p>
      <w:r>
        <w:rPr>
          <w:b/>
        </w:rPr>
        <w:t xml:space="preserve">Quelle: </w:t>
      </w:r>
      <w:r>
        <w:t>https://mcp.opencaselaw.ch/entscheid/bstger_RH.2015.2</w:t>
      </w:r>
    </w:p>
    <w:p>
      <w:r>
        <w:t>FR: TPF RH.2015.2 du 17 février 2015</w:t>
      </w:r>
    </w:p>
    <w:p>
      <w:r>
        <w:t>IT: TPF RH.2015.2 del 17 febbraio 2015</w:t>
      </w:r>
    </w:p>
    <w:p>
      <w:pPr>
        <w:pStyle w:val="Heading2"/>
      </w:pPr>
      <w:r>
        <w:t>Regeste</w:t>
      </w:r>
    </w:p>
    <w:p>
      <w:r>
        <w:t>Auslieferung an Israel. Beschwerde gegen Abweisung des Haftentlassungsgesuchs (Art. 50 Abs. 3 i.V.m. Art. 25 Abs. 1 IRSG). Haftbedingungen.</w:t>
      </w:r>
    </w:p>
    <w:p>
      <w:pPr>
        <w:pStyle w:val="Heading2"/>
      </w:pPr>
      <w:r>
        <w:t>Erwägungen</w:t>
      </w:r>
    </w:p>
    <w:p>
      <w:r>
        <w:rPr>
          <w:b/>
        </w:rPr>
        <w:t>E. 1</w:t>
      </w:r>
    </w:p>
    <w:p>
      <w:r>
        <w:t>Für den Auslieferungsverkehr und die Auslieferungshaft zwischen der Schweiz und Israel ist primär das Europäische Auslieferungsübereinkom- men vom 13. Dezember 1957 (EAUe; SR 0.353.1), dem beide Staaten bei- getreten sind, massgebend. Wo das Übereinkommen nichts anderes be- stimmt, findet ausschliesslich das Recht des ersuchten Staates Anwendung (Art. 22 EAUe), namentlich das Bundesgesetz vom 20. März 1981 über in- ternationale Rechtshilfe in Strafsachen (IRSG; SR 351.1) und die Verord- nung vom 24. Februar 1982 über internationale Rechtshilfe in Strafsachen (IRSV; SR 351.11). Das innerstaatliche Recht gelangt nach dem Günstig- keitsprinzip auch dann zur Anwendung, wenn dieses geringere Anforde- rungen an die Auslieferung stellt (BGE 137 IV 33 E. 2.2.2; 136 IV 82 E. 3.1; 129 II 462 E. 1.1 S. 464; 122 II 140 E. 2 S. 142). Vorbehalten bleibt die Wahrung der Menschenrechte (BGE 135 IV 212 E. 2.3; 123 II 595 E. 7c).</w:t>
      </w:r>
    </w:p>
    <w:p>
      <w:r>
        <w:rPr>
          <w:b/>
        </w:rPr>
        <w:t>E. 2.1</w:t>
      </w:r>
    </w:p>
    <w:p>
      <w:r>
        <w:t>Wie gegen den Auslieferungshaftbefehl kann der Verfolgte gegen die vom BJ verfügte Abweisung seines Gesuchs um Entlassung aus der Ausliefe- rungshaft innert zehn Tagen ab der schriftlichen Eröffnung Beschwerde bei der Beschwerdekammer des Bundesstrafgerichts führen (Art. 50 Abs. 3 i.V.m. Art. 48 Abs. 2 IRSG; BGE 109 IV 60 E. 1; 117 IV 359 E. 1a; BBl 1976 II 463). Für das Beschwerdeverfahren gelten die Art. 379 – 397 StPO sinngemäss (Art. 48 Abs. 2 i.V.m. Art. 47 IRSG).</w:t>
      </w:r>
    </w:p>
    <w:p>
      <w:r>
        <w:rPr>
          <w:b/>
        </w:rPr>
        <w:t>E. 2.2</w:t>
      </w:r>
    </w:p>
    <w:p>
      <w:r>
        <w:t>Die angefochtene Abweisung des Haftentlassungsgesuchs vom 22. Janu- ar 2015 wurde dem Beschwerdeführer am 31. Januar 2015 eröffnet. Die mit Eingabe vom 4. Februar 2015 (act. 5) erhobene Beschwerde erfolgte somit innert Frist. Auf die Beschwerde ist demnach einzutreten.</w:t>
      </w:r>
    </w:p>
    <w:p>
      <w:r>
        <w:rPr>
          <w:b/>
        </w:rPr>
        <w:t>E. 3.1</w:t>
      </w:r>
    </w:p>
    <w:p>
      <w:r>
        <w:t>Die Verhaftung des Beschuldigten während des ganzen Auslieferungsver- fahrens bildet die Regel (BGE 136 IV 20 E. 2.2 S. 23; 130 II 306 E. 2.2 S. 309). Eine Aufhebung des Auslieferungshaftbefehls sowie eine Haftent- lassung rechtfertigen sich nur ausnahmsweise, wenn der Beschuldigte sich voraussichtlich der Auslieferung nicht entzieht und die Strafuntersuchung nicht gefährdet (Art. 47 Abs. 1 lit. a IRSG), wenn er den sogenannten Alibi- beweis erbringen und ohne Verzug nachweisen kann, dass er zur Zeit der Tat nicht am Tatort war (Art. 47 Abs. 1 lit. b IRSG), wenn er nicht hafterste- hungsfähig ist oder andere Gründe vorliegen, welche eine weniger ein- schneidende Massnahme rechtfertigen (Art. 47 Abs. 2 IRSG), oder wenn</w:t>
      </w:r>
    </w:p>
    <w:p>
      <w:r>
        <w:t>- 5 -</w:t>
      </w:r>
    </w:p>
    <w:p>
      <w:r>
        <w:t>sich die Auslieferung als offensichtlich unzulässig erweist (Art. 51 Abs. 1 IRSG). Diese Aufzählung ist nicht abschliessend (BGE 130 II 306 E. 2.1; 117 IV 359 E. 2a S. 361; vgl. Entscheide des Bundesstrafgerichts RH.2014.5 vom 7. Mai 2014, E. 2.1; RH.2013.2 vom 13. März 2013, E. 3; RH.2012.16 vom 21. Dezember 2012, E. 2.1). Diese Regelung soll es der Schweiz ermöglichen, ihren staatsvertraglichen Auslieferungspflichten nachzukommen. Die ausnahmsweise zu gewährende Haftentlassung ist deshalb an strengere Voraussetzungen gebunden als der Verzicht auf die gewöhnliche Untersuchungshaft in einem Strafverfahren oder die Entlas- sung aus einer solchen (vgl. BGE 130 II 306 E. 2.2 und 2.3; 111 IV 108 E. 2). An diesen Vorgaben hat sich mit der Einführung der Schweizerischen Strafprozessordnung (StPO; SR 312.0) nichts geändert (s. Art. 54 StPO sowie die unveränderte Fortgeltung von Art. 47 IRSG). Der Verweis von Art. 50 Abs. 4 IRSG neu auf die sinngemässe Anwendung von Art. 238 – 240 StPO betrifft ausschliesslich die Sicherheitsleistung als Er- satzmassnahme (wie schon der frühere Verweis auf Art. 53 – 60 des Bun- desgesetzes über die Bundesstrafrechtspflege vom 15. Juni 1934).</w:t>
      </w:r>
    </w:p>
    <w:p>
      <w:r>
        <w:rPr>
          <w:b/>
        </w:rPr>
        <w:t>E. 3.2</w:t>
      </w:r>
    </w:p>
    <w:p>
      <w:r>
        <w:t>Die Bestimmung von Art. 50 Abs. 3 IRSG (wonach die Auslieferungshaft "in jedem Stande des Verfahrens ausnahmsweise aufgehoben" werden kann, "wenn dies nach den Umständen angezeigt erscheint") enthält keinen selb- ständigen Haftentlassungsgrund. Art. 50 Abs. 3 IRSG stellt eine allgemeine Verfahrensvorschrift dar, wonach jederzeit ein Haftentlassungsgesuch ge- stellt werden kann (vgl. Urteil des Bundesgerichts 1A.283/2000 vom 20. November 2000, E. 2; BGE 117 IV 359 E. 2a S. 361 f.). Dieser An- spruch des Beschuldigten ändert nichts am Ausnahmecharakter der Ent- lassung aus der Auslieferungshaft. Auch in einem solchen Fall bleibt die Haftentlassung eine Ausnahme, welche gemäss Art. 50 Abs. 3 IRSG durch die Umstände gerechtfertigt sein muss (BGE 117 IV 359 E. 2a).</w:t>
      </w:r>
    </w:p>
    <w:p>
      <w:r>
        <w:rPr>
          <w:b/>
        </w:rPr>
        <w:t>E. 4.1</w:t>
      </w:r>
    </w:p>
    <w:p>
      <w:r>
        <w:t>Der Beschwerdeführer beantragt in seiner Beschwerde, die Auslieferungs- haft sei unverzüglich aufzuheben. Er führt zusammenfassend aus, ein guter Freund würde für ihn ein Haus mieten und für ihn bürgen (act. 1).</w:t>
      </w:r>
    </w:p>
    <w:p>
      <w:r>
        <w:rPr>
          <w:b/>
        </w:rPr>
        <w:t>E. 4.2</w:t>
      </w:r>
    </w:p>
    <w:p>
      <w:r>
        <w:t>In der angefochtenen Verfügung lehnte der Beschwerdegegner die Entlas- sung des Beschwerdeführers aus der Auslieferungshaft mit der Begrün- dung ab, dass nach wie vor eine beträchtliche Fluchtgefahr bestehe (act. 5.1). Der Beschwerdegegner verwies auf seine Verfügung vom 12. Mai 2014 und die darin zitierte bundesgerichtliche Rechtsprechung, wonach die Verhaftung der verfolgten Person während des ganzen Auslie- ferungsverfahrens die Regel bilde und ihre Freilassung nur unter strengen Voraussetzungen in Betracht komme (act. 5.1). Der Beschwerdeführer ha-</w:t>
      </w:r>
    </w:p>
    <w:p>
      <w:r>
        <w:t>- 6 -</w:t>
      </w:r>
    </w:p>
    <w:p>
      <w:r>
        <w:t>be keine familiären Bindungen noch anderweitige enge Bindungen zur Schweiz (act. 5.1).</w:t>
      </w:r>
    </w:p>
    <w:p>
      <w:r>
        <w:rPr>
          <w:b/>
        </w:rPr>
        <w:t>E. 4.3</w:t>
      </w:r>
    </w:p>
    <w:p>
      <w:r>
        <w:t>Soweit der Beschwerdeführer die beträchtliche Fluchtgefahr bestreiten wollte, ist vollumfänglich auf die zutreffende Begründung der Fluchtgefahr durch den Beschwerdegegner in der angefochtenen Verfügung zu verwei- sen (s. act. 5.1). Diese lässt sich durch die sinngemäss beantragten Er- satzmassnahmen nicht bannen. Dem ist beizufügen, dass mit den beiden in der Zwischenzeit ergangenen Urteilen des Bundesgerichts vom 10. Feb- ruar 2015, mit welchen die Bewilligung der Auslieferung durch Abweisung der Einrede des politischen Delikts und die Abweisung des Asylgesuchs bestätigt wurde, eine Aufhebung der Auslieferungshaft ohnehin nicht mehr in Frage kommen kann.</w:t>
      </w:r>
    </w:p>
    <w:p>
      <w:r>
        <w:rPr>
          <w:b/>
        </w:rPr>
        <w:t>E. 5.1</w:t>
      </w:r>
    </w:p>
    <w:p>
      <w:r>
        <w:t>Der Beschwerdeführer bringt weiter vor, er müsse mehr als einmal die Wo- che mit seiner Schwester, seiner Familie und seinem Anwalt in Israel tele- fonieren können. Was seine auf Hebräisch verfassten Briefe anbelangt, so tue ihm das leid, dass sie auf Hebräisch seien; er habe sie auf Englisch übersetzt. Der Beschwerdegegner könne diese übersetzen lassen, um sei- ne Übersetzung zu verifizieren. Der Beschwerdeführer führt weiter aus, er habe um die Benutzung eines Computers ersucht (act. 5.1).</w:t>
      </w:r>
    </w:p>
    <w:p>
      <w:r>
        <w:rPr>
          <w:b/>
        </w:rPr>
        <w:t>E. 5.2</w:t>
      </w:r>
    </w:p>
    <w:p>
      <w:r>
        <w:t>Zu den Anträgen des Beschwerdeführers hielt der Beschwerdegegner in der angefochtenen Verfügung Folgendes fest: Er habe keine Einwände ge- gen die Weiterleitung des Auslieferungsersuchens an die Schwester, aber er bestehe darauf, auch diesen Brief der Zensur zu unterstellen, weshalb er dem Beschwerdeführer empfehle den Begleitbrief für die Schwester in eng- lischer Sprache zu verfassen; er sei sodann nicht bereit, dem Beschwerde- führer einen häufigeren telefonischen Kontakt mit der Schwester zu erlau- ben, als dem Reglement in der Strafanstalt entspreche, in der er sich zur Zeit befinde; der Entscheid über die Benutzung eines Computers und deren allfällige Einschränkungen überlasse er ebenfalls den kantonalen Behörden (act. 1.1; act. 5.1).</w:t>
      </w:r>
    </w:p>
    <w:p>
      <w:r>
        <w:rPr>
          <w:b/>
        </w:rPr>
        <w:t>E. 5.3</w:t>
      </w:r>
    </w:p>
    <w:p>
      <w:r>
        <w:t>Gemäss diesen Erwägungen in der angefochtenen Verfügung wird der Be- schwerdeführer dem gleichen Haftregime unterstellt, wie die anderen sich im betreffenden Bezirksgefängnis in Haft befindenden Personen. Gründe, welche im Falle des Beschwerdeführers eine Ausnahme davon rechtferti- gen würden, sind vorliegend nicht ersichtlich.</w:t>
      </w:r>
    </w:p>
    <w:p>
      <w:r>
        <w:rPr>
          <w:b/>
        </w:rPr>
        <w:t>E. 6</w:t>
      </w:r>
    </w:p>
    <w:p>
      <w:r>
        <w:t>Nach dem Gesagten erweist sich die Beschwerde in allen Punkten als un- begründet und ist abzuweisen.</w:t>
      </w:r>
    </w:p>
    <w:p>
      <w:r>
        <w:t>- 7 -</w:t>
      </w:r>
    </w:p>
    <w:p>
      <w:r>
        <w:rPr>
          <w:b/>
        </w:rPr>
        <w:t>E. 7</w:t>
      </w:r>
    </w:p>
    <w:p>
      <w:r>
        <w:t>Bei diesem Ausgang des Verfahrens sind die Gerichtskosten dem Be- schwerdeführer aufzuerlegen (Art. 63 Abs. 1 VwVG i.V.m. Art. 39 Abs. 2 lit. b StBOG). Die Gerichtsgebühr ist auf Fr. 2'000.-- festzusetzen (Art. 63 Abs. 5 VwVG i.V.m. Art. 39 Abs. 2 lit. b StBOG und Art. 73 StBOG sowie Art. 5 und 8 Abs. 3 lit. a des Reglements des Bundesstrafgerichts vom 31. August 2010 über die Kosten, Gebühren und Entschädigungen in Bun- 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