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RH.2015.15 vom 27. Juli 2015</w:t>
      </w:r>
    </w:p>
    <w:p>
      <w:r>
        <w:t>Bundesstrafgericht, 2015-07-27, DE</w:t>
      </w:r>
    </w:p>
    <w:p>
      <w:r>
        <w:rPr>
          <w:b/>
        </w:rPr>
        <w:t xml:space="preserve">Quelle: </w:t>
      </w:r>
      <w:r>
        <w:t>https://mcp.opencaselaw.ch/entscheid/bstger_RH.2015.15</w:t>
      </w:r>
    </w:p>
    <w:p>
      <w:r>
        <w:t>FR: TPF RH.2015.15 du 27 juillet 2015</w:t>
      </w:r>
    </w:p>
    <w:p>
      <w:r>
        <w:t>IT: TPF RH.2015.15 del 27 luglio 2015</w:t>
      </w:r>
    </w:p>
    <w:p>
      <w:pPr>
        <w:pStyle w:val="Heading2"/>
      </w:pPr>
      <w:r>
        <w:t>Regeste</w:t>
      </w:r>
    </w:p>
    <w:p>
      <w:r>
        <w:t>Auslieferung an Deutschland. Auslieferungshaftbefehl (Art. 48 Abs. 2 IRSG).</w:t>
      </w:r>
    </w:p>
    <w:p>
      <w:pPr>
        <w:pStyle w:val="Heading2"/>
      </w:pPr>
      <w:r>
        <w:t>Erwägungen</w:t>
      </w:r>
    </w:p>
    <w:p>
      <w:r>
        <w:rPr>
          <w:b/>
        </w:rPr>
        <w:t>E. 2.1</w:t>
      </w:r>
    </w:p>
    <w:p>
      <w:r>
        <w:t>Gegen den Auslieferungshaftbefehl des BJ kann der Verfolgte innert zehn Tagen ab der schriftlichen Eröffnung Beschwerde bei der Beschwerdekammer des Bundesstrafgerichts führen (Art. 48 Abs. 2 IRSG i.V.m. Art. 47 IRSG; Art. 37 Abs. 2 lit. a des Bundesgesetzes vom 19. März 2010 über die Organisation der Strafbehörden des Bundes [StBOG; SR 173.71]).</w:t>
      </w:r>
    </w:p>
    <w:p>
      <w:r>
        <w:rPr>
          <w:b/>
        </w:rPr>
        <w:t>E. 2.2</w:t>
      </w:r>
    </w:p>
    <w:p>
      <w:r>
        <w:t>Der angefochtene Auslieferungshaftbefehl wurde dem Beschwerdeführer am 3. Juli 2015 eröffnet. Seine Beschwerde vom 9. Juli 2015 ist damit</w:t>
      </w:r>
    </w:p>
    <w:p>
      <w:r>
        <w:t>- 4 -</w:t>
      </w:r>
    </w:p>
    <w:p>
      <w:r>
        <w:t>fristgerecht. Die übrigen Eintretensvoraussetzungen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RH.2015.14 vom 9. Juli 2015, E. 3 m.w.H.).</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m.w.H.).</w:t>
      </w:r>
    </w:p>
    <w:p>
      <w:r>
        <w:rPr>
          <w:b/>
        </w:rPr>
        <w:t>E. 4.1</w:t>
      </w:r>
    </w:p>
    <w:p>
      <w:r>
        <w:t>Der Beschwerdeführer wurde mit Urteil des Amtsgerichts Oberhausen vom</w:t>
      </w:r>
    </w:p>
    <w:p>
      <w:r>
        <w:rPr>
          <w:b/>
        </w:rPr>
        <w:t>E. 4.2</w:t>
      </w:r>
    </w:p>
    <w:p>
      <w:r>
        <w:t>Die Verhaftung des Beschuldigten während des ganzen Auslieferungs- verfahrens bildet die Regel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w:t>
      </w:r>
    </w:p>
    <w:p>
      <w:r>
        <w:t>- 5 -</w:t>
      </w:r>
    </w:p>
    <w:p>
      <w:r>
        <w:t>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auch Entscheid des Bundesstrafgerichts RH.2015.7 vom 29. April 2015, E. 4.1 und weitere dort angeführte Entscheide).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Beschwerdeverfahren, sondern im eigentlichen Auslieferungsverfahren zu prüfen (vgl. LAURENT MOREILLON / MICHEL DUPUIS / MIRIAM MAZOU, La pratique judiciaire du Tribunal pénal fédéral, in Journal des Tribunaux 2009 IV 111 Nr. 190 und 2008 IV 66 Nr. 322 je m.w.H. auf die Rechtsprechung).</w:t>
      </w:r>
    </w:p>
    <w:p>
      <w:r>
        <w:t>Die ausnahmsweise zu gewährende Haftentlassung ist an strengere Voraussetzungen gebunden als der Verzicht auf die gewöhnliche Untersuchungshaft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w:t>
      </w:r>
    </w:p>
    <w:p>
      <w:r>
        <w:rPr>
          <w:b/>
        </w:rPr>
        <w:t>E. 4.3</w:t>
      </w:r>
    </w:p>
    <w:p>
      <w:r>
        <w:t>Der Beschwerdeführer verkennt mit seinen Ausführungen, dass derartige Einwendungen, wie zuvor dargelegt, im Verfahren betreffend Auslieferungshaft nicht zu hören sind. Zudem werden Schuld- und Tatfragen im Rahmen eines Auslieferungsverfahrens grundsätzlich nicht geprüft.</w:t>
      </w:r>
    </w:p>
    <w:p>
      <w:r>
        <w:t>Der Beschwerdeführer vermag auch aus dem Umstand, dass ihm das Auslieferungsersuchen allenfalls noch nicht zugestellt wurde, nichts zu seinen Gunsten abzuleiten. Die Pflicht, dem Beschwerdeführer das Ersuchen vorzulegen, besteht erst bei der Vorbereitung des Auslieferungsentscheides (vgl. Art. 51 Abs. 1 IRSG), mithin noch nicht bei der Ausstellung des Auslieferungshaftbefehls (im Zeitpunkt der Ausfertigung des Auslieferungshaftbefehls wird das Ersuchen regelmässig auch dem Beschwerdegegner noch nicht vorliegen [vgl. Art. 16 Abs. 4 EAUe und Art. 50 Abs. 1 IRSG]).</w:t>
      </w:r>
    </w:p>
    <w:p>
      <w:r>
        <w:rPr>
          <w:b/>
        </w:rPr>
        <w:t>E. 4.4</w:t>
      </w:r>
    </w:p>
    <w:p>
      <w:r>
        <w:t>Im Übrigen ergeben sich keine Gründe, welche zur Annahme Anlass geben, die Voraussetzungen der Auslieferungshaft seien nicht erfüllt. Die Beschwerde ist somit abzuweisen.</w:t>
      </w:r>
    </w:p>
    <w:p>
      <w:r>
        <w:t>- 6 -</w:t>
      </w:r>
    </w:p>
    <w:p>
      <w:r>
        <w:t>5. 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- 7 -</w:t>
      </w:r>
    </w:p>
    <w:p>
      <w:r>
        <w:rPr>
          <w:b/>
        </w:rPr>
        <w:t>E. 6</w:t>
      </w:r>
    </w:p>
    <w:p>
      <w:r>
        <w:t>Februar 2014 wegen Sachbeschädigung zu einer Freiheitsstrafe von zwei Jahren verurteilt, wobei er noch zehn Monate abzubüssen hat (act. 3.1). Er macht diesbezüglich geltend, dass er die ihm zur Last gelegte Tat nicht begangen habe. Zudem sei er zu der diesbezüglichen Revisions- verhandlung nicht korrekt vorgeladen worden. Ohnehin sei die ihm vorgeworfene Sachbeschädigung keine auslieferungsfähige Tat, da es sich dabei lediglich um ein kleines Vergehen handle.</w:t>
      </w:r>
    </w:p>
    <w:p>
      <w:r>
        <w:t>Er führt sodann aus, dass in der Vergangenheit seine Grundrechte immer wieder verletzt worden seien. Zudem habe er das deutsche Auslieferungsersuchen nicht bekommen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