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RH.2015.14 vom 9. Juli 2015</w:t>
      </w:r>
    </w:p>
    <w:p>
      <w:r>
        <w:t>Bundesstrafgericht, 2015-07-09, DE</w:t>
      </w:r>
    </w:p>
    <w:p>
      <w:r>
        <w:rPr>
          <w:b/>
        </w:rPr>
        <w:t xml:space="preserve">Quelle: </w:t>
      </w:r>
      <w:r>
        <w:t>https://mcp.opencaselaw.ch/entscheid/bstger_RH.2015.14</w:t>
      </w:r>
    </w:p>
    <w:p>
      <w:r>
        <w:t>FR: TPF RH.2015.14 du 9 juillet 2015</w:t>
      </w:r>
    </w:p>
    <w:p>
      <w:r>
        <w:t>IT: TPF RH.2015.14 del 9 luglio 2015</w:t>
      </w:r>
    </w:p>
    <w:p>
      <w:pPr>
        <w:pStyle w:val="Heading2"/>
      </w:pPr>
      <w:r>
        <w:t>Regeste</w:t>
      </w:r>
    </w:p>
    <w:p>
      <w:r>
        <w:t>Auslieferung an Deutschland. Auslieferungshaftbefehl (Art. 48 Abs. 2 IRSG).</w:t>
      </w:r>
    </w:p>
    <w:p>
      <w:pPr>
        <w:pStyle w:val="Heading2"/>
      </w:pPr>
      <w:r>
        <w:t>Erwägungen</w:t>
      </w:r>
    </w:p>
    <w:p>
      <w:r>
        <w:rPr>
          <w:b/>
        </w:rPr>
        <w:t>E. 1</w:t>
      </w:r>
    </w:p>
    <w:p>
      <w:r>
        <w:t>Abs. 1 lit. a IRSG).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 Gemäss Art. 48 Abs. 2 IRSG gelten für das vorliegende Beschwerdeverfahren Art. 379–397 StPO sinngemäss.</w:t>
      </w:r>
    </w:p>
    <w:p>
      <w:r>
        <w:rPr>
          <w:b/>
        </w:rPr>
        <w:t>E. 1.1</w:t>
      </w:r>
    </w:p>
    <w:p>
      <w:r>
        <w:t>Für den Auslieferungsverkehr und die Auslieferungshaft zwischen der Schweiz und Deutschland sind primär das Europäische Auslieferungsübereinkommen vom 13. Dezember 1957 (EAUe; SR 0.353.1), das hierzu ergangene zweite Zusatzprotokoll vom 17. März 1978 (2. ZP EAUe; SR 0.353.12), welchem beide Staaten beigetreten sind, sowie der Vertrag vom 13. November 1969 zwischen der Schweizerischen Eidgenossenschaft und der Bundesrepublik Deutschland über die Ergänzung des EAUe und die Erleichterung seiner Anwendung (ZV EAUe; SR 0.353.913.61) massgebend. Ausserdem gelangen die Bestimmungen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und der vorläufigen Auslieferungshaft ausschliesslich das Recht des ersuchten Staates Anwendung (Art. 22 EAUe), vorliegend also das Bundesgesetz über die internationale Rechtshilfe in Strafsachen (IRSG; SR 351.1) und die Verordnung vom 24. Februar 1982 über internationale Rechtshilfe in Strafsachen (IRSV; SR 351.11). Dies gilt auch im Verhältnis zum SDÜ (Art.</w:t>
      </w:r>
    </w:p>
    <w:p>
      <w:r>
        <w:rPr>
          <w:b/>
        </w:rPr>
        <w:t>E. 2.1</w:t>
      </w:r>
    </w:p>
    <w:p>
      <w:r>
        <w:t>Gegen den Auslieferungshaftbefehl des BJ kann der Verfolgte innert zehn Tagen ab der schriftlichen Eröffnung Beschwerde bei der Beschwerdekammer des Bundesstrafgerichts führen (Art. 48 Abs. 2 IRSG i.V.m. Art. 47 IRSG; Art. 37 Abs. 2 lit. a des Bundesgesetzes vom 19. März 2010 über die Organisation der Strafbehörden des Bundes [StBOG; SR 173.71]).</w:t>
      </w:r>
    </w:p>
    <w:p>
      <w:r>
        <w:t>- 4 -</w:t>
      </w:r>
    </w:p>
    <w:p>
      <w:r>
        <w:rPr>
          <w:b/>
        </w:rPr>
        <w:t>E. 2.2</w:t>
      </w:r>
    </w:p>
    <w:p>
      <w:r>
        <w:t>Der angefochtene Auslieferungshaftbefehl wurde dem Beschwerdeführer am 16. Juni 2015 eröffnet. Seine Beschwerde vom 24. Juni 2015 ist damit fristgerecht. Die übrigen Eintretensvoraussetzungen geben keinen Anlass zu weiteren Bemerkungen.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 voraussetzungen mit freier Kognition, befasst sich jedoch nur mit Tat- und Rechtsfragen, die Streitgegenstand der Beschwerde bilden (vgl. zuletzt Entscheid des Bundesstrafgerichts RH.2015.12 vom 26. Juni 2015, E. 3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m.w.H.).</w:t>
      </w:r>
    </w:p>
    <w:p>
      <w:r>
        <w:rPr>
          <w:b/>
        </w:rPr>
        <w:t>E. 4.1</w:t>
      </w:r>
    </w:p>
    <w:p>
      <w:r>
        <w:t>Die Verhaftung des Beschuldigten während des ganzen Auslieferungs- verfahrens bildet die Regel (BGE 136 IV 20 E. 2.2 S. 23; 130 II 306 E. 2.2 S. 309).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auch Entscheid des Bundesstrafgerichts RH.2015.7 vom 29. April 2015, E. 4.1 und weitere dort angeführte Entscheide).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Beschwerdeverfahren, sondern im eigentlichen Auslieferungsverfahren zu prüfen (vgl. LAURENT MOREILLON / MICHEL DUPUIS / MIRIAM MAZOU, La pratique judiciaire du</w:t>
      </w:r>
    </w:p>
    <w:p>
      <w:r>
        <w:t>- 5 -</w:t>
      </w:r>
    </w:p>
    <w:p>
      <w:r>
        <w:t>Tribunal pénal fédéral, in Journal des Tribunaux 2009 IV 111 Nr. 190 und 2008 IV 66 Nr. 322 je m.w.H. auf die Rechtsprechung). Diese Regelung soll es der Schweiz ermöglichen, ihren staatsvertraglichen Auslieferungs- 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w:t>
      </w:r>
    </w:p>
    <w:p>
      <w:r>
        <w:rPr>
          <w:b/>
        </w:rPr>
        <w:t>E. 4.2</w:t>
      </w:r>
    </w:p>
    <w:p>
      <w:r>
        <w:t>Der Beschwerdeführer macht geltend, dass er mit Urteil des Amtsgerichts Balingen vom 26. Mai 2011 zu einer bedingten Freiheitsstrafe verurteilt worden sei. Mit Beschluss des Amtsgerichts Tauberbischofsheim vom 19. November 2013 sei die bedingte Freiheitsstrafe dann widerrufen worden. Dieser Beschluss sei ihm jedoch nicht korrekt zugestellt worden (act. 1, S. 1 ff. sowie act. 5, S. 1 f.).</w:t>
      </w:r>
    </w:p>
    <w:p>
      <w:r>
        <w:t>Er führt weiter an, dass der ihm im Haftbefehl vom 14. April 2015 vorgeworfene Sachverhalt nicht stimme und macht eine Gegendarstellung (act. 1, S. 4 f.).</w:t>
      </w:r>
    </w:p>
    <w:p>
      <w:r>
        <w:t>Der Beschwerdeführer verkennt mit diesen Ausführungen, dass derartige Einwendungen, wie zuvor dargelegt (siehe supra 4.1), im Verfahren betreffend Auslieferungshaft nicht zu hören sind. Zudem werden Schuld- und Tatfragen im Rahmen eines Auslieferungsverfahrens grundsätzlich nicht geprüft.</w:t>
      </w:r>
    </w:p>
    <w:p>
      <w:r>
        <w:rPr>
          <w:b/>
        </w:rPr>
        <w:t>E. 4.3</w:t>
      </w:r>
    </w:p>
    <w:p>
      <w:r>
        <w:t>Der Beschwerdeführer bringt weiter vor, er wolle nicht flüchten. Er habe seinen Wohnsitzwechsel den zuständigen Behörden in Deutschland gemeldet. Im Sinne von Ersatzmassnahmen schlägt er die Meldepflicht bei der Polizei sowie eine Dokumentensperre vor. Er könne auch jede Nacht in der Untersuchungshaft nächtigen. Ihm ginge es primär darum, dass er seine Familie sehen und seinen geschäftlichen Verpflichtungen nachkommen könne (act. 1 sowie act. 5 S. 1).</w:t>
      </w:r>
    </w:p>
    <w:p>
      <w:r>
        <w:rPr>
          <w:b/>
        </w:rPr>
        <w:t>E. 4.4</w:t>
      </w:r>
    </w:p>
    <w:p>
      <w:r>
        <w:t>Die konstante Rechtsprechung des Bundesgerichts und des Bundesstrafgerichts ist hinsichtlich der Verneinung von Fluchtgefahr beispielsweise aus familiären Gründen überaus restriktiv und misst der Erfüllung der staatsvertraglichen Auslieferungspflichten im Vergleich zu den Interessen des Verfolgten ausserordentlich grosses Gewicht bei (vgl. BGE 130 II 306 E. 2 S. 310 ff. m.w.H.; Entscheid des Bundesstrafgerichts RH.2015.4 vom 23. Februar 2015, E. 5.2). Bei drohenden, hohen Freiheitsstrafen ist eine Fluchtgefahr gemäss der Rechtsprechung in der Regel selbst bei Niederlassungsbewilligung und</w:t>
      </w:r>
    </w:p>
    <w:p>
      <w:r>
        <w:t>- 6 -</w:t>
      </w:r>
    </w:p>
    <w:p>
      <w:r>
        <w:t>familiären Bindungen in der Schweiz gegeben (Urteil des Bundesgerichts 8G.45/2001 vom 15. August 2001, E. 3a). So wurde Fluchtgefahr bejaht bspw. bei einem Verfolgten, der seit seinem 17. Lebensjahr seit 10 Jahren ununterbrochen in der Schweiz lebte und seine Freundin wie auch den Freundeskreis hier hatte (Entscheid des Bundesstrafgerichts BH.2006.4 vom 21. März 2006, E. 2.2.1).</w:t>
      </w:r>
    </w:p>
    <w:p>
      <w:r>
        <w:rPr>
          <w:b/>
        </w:rPr>
        <w:t>E. 4.5</w:t>
      </w:r>
    </w:p>
    <w:p>
      <w:r>
        <w:t>Der Beschwerdeführer wurde mit Urteil des Amtsgerichts Balingen vom 26. Mai 2011 in Verbindung mit dem Beschluss des Amtsgerichts Tauberbischofsheim vom 19. November 2013 zu einer Freiheitsstrafe von einem Jahr und sieben Monaten verurteilt, wobei er bereits vier Monate verbüsst hat. Zudem droht ihm für den Sachverhaltsvorwurf des Haftbefehls des Amtsgerichts Stuttgart eine Freiheitsstrafe von bis zu 10 Jahren. Der Beschwerdeführer ist erst seit kurzem in der Schweiz wohnhaft und hat keinerlei familiäre Bindungen zur Schweiz (act. 4 Ziff. 3.3). Unter Berücksichtigung der bereits erwähnten restriktiven Rechtsprechung ist bei dieser Sachlage die Gefahr, dass sich der Beschwerdeführer einer Auslieferung an Deutschland durch Flucht entziehen könnte, ohne weiteres zu bejahen. Dieser hohen Fluchtgefahr kann auch nicht durch die von ihm vorgeschlagenen Ersatzmassnahmen begegnet werden.</w:t>
      </w:r>
    </w:p>
    <w:p>
      <w:r>
        <w:t>Nach dem Gesagten hat der Beschwerdegegner den Auslieferungs- haftbefehl zu Recht wegen Fluchtgefahr ausgestellt. Entsprechend erübrigen sich Ausführungen zur ebenfalls bestrittenen Verdunkelungsgefahr (act. 1, S. 6; vgl. supra E. 4.1).</w:t>
      </w:r>
    </w:p>
    <w:p>
      <w:r>
        <w:rPr>
          <w:b/>
        </w:rPr>
        <w:t>E. 4.6</w:t>
      </w:r>
    </w:p>
    <w:p>
      <w:r>
        <w:t>Wie der Beschwerdegegner in seiner Beschwerdeantwort festhält, hat der Beschwerdeführer die Möglichkeit, auf entsprechenden Antrag, im Gefängnis - im Rahmen der üblichen Einschränkungen - Besuch von Verwandten und Geschäftspartnern zu erhalten, um seine privaten und geschäftlichen Angelegenheiten zu regeln (act. 4, S. 4).</w:t>
      </w:r>
    </w:p>
    <w:p>
      <w:r>
        <w:rPr>
          <w:b/>
        </w:rPr>
        <w:t>E. 4.7</w:t>
      </w:r>
    </w:p>
    <w:p>
      <w:r>
        <w:t>Aus dem Gesagten ergibt sich, dass die Beschwerde abzuweisen ist.</w:t>
      </w:r>
    </w:p>
    <w:p>
      <w:r>
        <w:rPr>
          <w:b/>
        </w:rPr>
        <w:t>E. 5</w:t>
      </w:r>
    </w:p>
    <w:p>
      <w:r>
        <w:t>Bei diesem Ausgang des Verfahrens sind die Gerichtskosten dem Beschwerdeführer aufzuerlegen (Art. 63 Abs. 1 VwVG). Die Gerichtsgebühr ist auf Fr. 1'500.-- festzusetzen (Art. 63 Abs. 5 VwVG und Art. 73 StBOG sowie Art. 5 und 8 Abs. 3 lit. a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