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RH.2014.7 vom 5. Juni 2014</w:t>
      </w:r>
    </w:p>
    <w:p>
      <w:r>
        <w:t>Bundesstrafgericht, 2014-06-05, DE</w:t>
      </w:r>
    </w:p>
    <w:p>
      <w:r>
        <w:rPr>
          <w:b/>
        </w:rPr>
        <w:t xml:space="preserve">Quelle: </w:t>
      </w:r>
      <w:r>
        <w:t>https://mcp.opencaselaw.ch/entscheid/bstger_RH.2014.7</w:t>
      </w:r>
    </w:p>
    <w:p>
      <w:r>
        <w:t>FR: TPF RH.2014.7 du 5 juin 2014</w:t>
      </w:r>
    </w:p>
    <w:p>
      <w:r>
        <w:t>IT: TPF RH.2014.7 del 5 giugno 2014</w:t>
      </w:r>
    </w:p>
    <w:p>
      <w:pPr>
        <w:pStyle w:val="Heading2"/>
      </w:pPr>
      <w:r>
        <w:t>Regeste</w:t>
      </w:r>
    </w:p>
    <w:p>
      <w:r>
        <w:t>Auslieferung an Belgien. Auslieferungshaftbefehl (Art. 48 Abs. 2 IRSG).</w:t>
      </w:r>
    </w:p>
    <w:p>
      <w:pPr>
        <w:pStyle w:val="Heading2"/>
      </w:pPr>
      <w:r>
        <w:t>Erwägungen</w:t>
      </w:r>
    </w:p>
    <w:p>
      <w:r>
        <w:rPr>
          <w:b/>
        </w:rPr>
        <w:t>E. 1.1</w:t>
      </w:r>
    </w:p>
    <w:p>
      <w:r>
        <w:t>Für den Auslieferungsverkehr zwischen der Schweiz und Belgien sind pri- mär das Europäische Auslieferungsübereinkommen vom 13. Dezem- ber 1957 (EAUe; SR 0.353.1) sowie die beiden hierzu ergangenen Zusatz- protokolle vom 15. Oktober 1975 (ZPI EAUe; SR 0.353.11) und vom 17. März 1978 (ZPII EAUe; SR 0.353.12), welchen beide Staaten beigetre- ten sind, massgebend. Ausserdem gelangen die Bestimmungen der Art. 59 ff. des Übereinkommens vom 19. Juni 1990 zur Durchführung des Überein- kommens von Schengen vom 14. Juni 1985 (Schengener Durchführungs- übereinkommen, SDÜ; Abl. L239 vom 22. September 2000, S. 19 – 62) zur Anwendung (BGE 136 IV 88 E. 3.1 S. 89).</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(Rechtshilfegesetz, IRSG; SR 351.1) und die Verordnung vom 24. Februar 1982 über internationale Rechtshilfe in Strafsachen (Rechtshil- feverordnung, IRSV; SR 351.11).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617; TPF 2008 24 E. 1.1 S. 26).</w:t>
      </w:r>
    </w:p>
    <w:p>
      <w:r>
        <w:rPr>
          <w:b/>
        </w:rPr>
        <w:t>E. 2.1</w:t>
      </w:r>
    </w:p>
    <w:p>
      <w:r>
        <w:t>Gegen den Auslieferungshaftbefehl des BJ kann der Verfolgte innert zehn Tagen ab der schriftlichen Eröffnung Beschwerde bei der Beschwerde- kammer des Bundesstrafgerichts führen. Für das Beschwerdeverfahren gelten die Art. 379–397 StPO sinngemäss (Art. 48 Abs. 2 i.V.m. Art. 47 IRSG). Im Übrigen gelten die allgemeinen Bestimmungen des IRSG und des Bundesgesetzes vom 20. Dezember 1968 über das Verwaltungsver- fahren (Verwaltungsverfahrensgesetz, VwVG; SR 172.021; vgl. Art. 39 Abs. 2 lit. b i.V.m. Art. 37 Abs. 2 lit. a StBOG).</w:t>
      </w:r>
    </w:p>
    <w:p>
      <w:r>
        <w:rPr>
          <w:b/>
        </w:rPr>
        <w:t>E. 2.2</w:t>
      </w:r>
    </w:p>
    <w:p>
      <w:r>
        <w:t>Der angefochtene Auslieferungshaftbefehl wurde dem Beschwerdeführer am 7. Mai 2014 schriftlich eröffnet. Seine am 16. Mai 2014 erhobene Be- schwerde erweist sich als fristgerecht. Die übrigen Eintretensvorausset-</w:t>
      </w:r>
    </w:p>
    <w:p>
      <w:r>
        <w:t>- 4 -</w:t>
      </w:r>
    </w:p>
    <w:p>
      <w:r>
        <w:t>zungen geben keinen Anlass zu weiteren Bemerkungen. Auf die Be- schwerde ist demnach einzutreten.</w:t>
      </w:r>
    </w:p>
    <w:p>
      <w:r>
        <w:rPr>
          <w:b/>
        </w:rPr>
        <w:t>E. 3.1</w:t>
      </w:r>
    </w:p>
    <w:p>
      <w:r>
        <w:t>Die Verhaftung des Beschuldigten während des ganzen Auslieferungsver- fahrens bildet die Regel (BGE 136 IV 20 E. 2.2 S. 23; 130 II 306 E. 2.2 S. 309). Eine Aufhebung des Auslieferungshaftbefehls sowie eine Haftent- lassung rechtfertigen sich nur ausnahmsweise und unter strengen Voraus- setzungen,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 dere Gründe vorliegen, welche eine weniger einschneidende Massnahme rechtfertigen (Art. 47 Abs. 2 IRSG), oder wenn sich die Auslieferung als of- fensichtlich unzulässig erweist (Art. 51 Abs. 1 IRSG). Diese Aufzählung ist nicht abschliessend (BGE 130 II 306 E. 2.1; 117 IV 359 E. 2a S. 361; vgl. zum Ganzen zuletzt u. a. den Entscheid des Bundesstrafgerichts RH.2014.5 vom 7. Mai 2014, E. 2.1).</w:t>
      </w:r>
    </w:p>
    <w:p>
      <w:r>
        <w:rPr>
          <w:b/>
        </w:rPr>
        <w:t>E. 3.2</w:t>
      </w:r>
    </w:p>
    <w:p>
      <w:r>
        <w:t>In seiner Beschwerde nimmt der Beschwerdeführer Bezug auf das dem Auslieferungsverfahren zu Grunde liegende Urteil des Berufungsgerichts Antwerpen vom 28. Februar 2011 und führt hierzu aus, im Hauptverfahren betreffend Auslieferung werde zu zeigen sein, dass dieses Urteil gravieren- de Mängel aufweise. So sei der Beschwerdeführer in der mündlichen Beru- fungsverhandlung weder anwesend noch anwaltlich vertreten gewesen. Zudem sei die Revisionsinstanz mit rechtsstaatlich nicht vertretbarer Be- gründung nicht auf den entsprechenden Rechtsbehelf eingetreten. Fehle es an einer ausreichenden Grundlage für die Auslieferung, sei auch eine zu deren Vorbereitung angeordnete Auslieferungshaft nicht rechtmässig (act. 1, S. 4 f.). Der Beschwerdeführer verkennt hierbei, dass die Begrün- detheit des Auslieferungsbegehrens im Haftbeschwerdeverfahren grund- sätzlich nicht zu prüfen ist. Gegenstand des Verfahrens ist lediglich die Auslieferungshaft selber (vgl. hierzu zuletzt den Entscheid des Bundes- strafgerichts RH.2014.5 vom 7. Mai 2014, E. 2.1 m.w.H.). Vorbehalten blei- ben Fälle, in denen sich die Auslieferung als offensichtlich unzulässig er- weist (Art. 51 Abs. 1 IRSG). Der Beschwerdeführer bringt mit seiner Kritik am Auslieferungsverfahren zu Grunde liegenden Urteil keine Gründe vor, welche die Auslieferung als offensichtlich unzulässig erscheinen lassen. Auf die entsprechenden Rügen wird gegebenenfalls im Rahmen des Aus-</w:t>
      </w:r>
    </w:p>
    <w:p>
      <w:r>
        <w:t>- 5 -</w:t>
      </w:r>
    </w:p>
    <w:p>
      <w:r>
        <w:t>lieferungsentscheides näher einzugehen sein. Eine Aufhebung der Auslie- ferungshaft vermögen sie nicht zu rechtfertigen.</w:t>
      </w:r>
    </w:p>
    <w:p>
      <w:r>
        <w:rPr>
          <w:b/>
        </w:rPr>
        <w:t>E. 3.3</w:t>
      </w:r>
    </w:p>
    <w:p>
      <w:r>
        <w:t>Der Beschwerdeführer macht weiter geltend, auf Grund seines Alters von bald 70 Jahren und seiner gesundheitlichen Probleme (einer Dauermedi- kamentation unterliegender Bluthochdruck) sei von einer besonders hohen Haftempfindlichkeit auszugehen (act. 1, S. 5). Die hierauf vom Beschwer- degegner angeordnete medizinische Untersuchung des Beschwerdeführers ergab, dass dessen gesundheitliche Probleme weder die Hafterstehungs- fähigkeit noch die Reisefähigkeit einschränken würden (act. 3.8). Im Rah- men seiner Einvernahme vom 2. Mai 2014 gab der Beschwerdeführer zu- dem an, sich gesund zu fühlen (act. 3.5, S. 6). Der Beschwerdeführer ist nach dem Gesagten hafterstehungsfähig, weshalb sich seine Beschwerde in diesem Punkt als unbegründet erweist.</w:t>
      </w:r>
    </w:p>
    <w:p>
      <w:r>
        <w:rPr>
          <w:b/>
        </w:rPr>
        <w:t>E. 3.4</w:t>
      </w:r>
    </w:p>
    <w:p>
      <w:r>
        <w:t>Soweit der Beschwerdeführer geltend macht, er hege keinerlei Fluchtab- sichten und der Haftzweck liesse sich auch mit einer Reihe von Ersatz- massnahmen erreichen (act. 1, S. 5 f.), ist festzuhalten, dass der Be- schwerdeführer in seinem Heimatland, den Niederlanden, wohnhaft ist und er in der Schweiz kein Domizil hat. Ausser dem Umstand, dass ein Sohn in der Schweiz lebe, bestehen keine engeren Beziehungen zur Schweiz. Für eine erhöhte Fluchtgefahr spricht weiter die im Falle einer Auslieferung an Belgien zu verbüssende relativ lange Freiheitsstrafe. Die vom Beschwerde- führer angebotenen Ersatzmassnahmen vermögen die bestehende Flucht- gefahr nicht zu beseitigen, weshalb sich die Beschwerde auch in diesem Punkt als unbegründet erweist.</w:t>
      </w:r>
    </w:p>
    <w:p>
      <w:r>
        <w:rPr>
          <w:b/>
        </w:rPr>
        <w:t>E. 3.5</w:t>
      </w:r>
    </w:p>
    <w:p>
      <w:r>
        <w:t>Die Rechtmässigkeit der angeordneten Auslieferungshaft wird auch nicht in Frage gestellt durch das Vorbringen des Beschwerdeführers, sein Hund werde auf Grund seiner Auslieferungshaft nur ungenügend betreut (act. 1, S. 5).</w:t>
      </w:r>
    </w:p>
    <w:p>
      <w:r>
        <w:rPr>
          <w:b/>
        </w:rPr>
        <w:t>E. 3.6</w:t>
      </w:r>
    </w:p>
    <w:p>
      <w:r>
        <w:t>Stichhaltige Gründe, weshalb sich die vorliegend angeordnete Ausliefe- rungshaft als unzulässig oder als unverhältnismässig erweisen würde, wer- den vom Beschwerdeführer somit keine geltend gemacht. Den Akten kön- nen auch sonst keine solchen entnommen werden. Die Beschwerde er- weist sich nach dem Gesagten als unbegründet, weshalb sie abzuweisen ist.</w:t>
      </w:r>
    </w:p>
    <w:p>
      <w:r>
        <w:rPr>
          <w:b/>
        </w:rPr>
        <w:t>E. 4</w:t>
      </w:r>
    </w:p>
    <w:p>
      <w:r>
        <w:t>Bei diesem Ausgang des Verfahrens sind die Gerichtskosten dem Be- schwerdeführer aufzuerlegen (Art. 63 Abs. 1 VwVG). Die Gerichtsgebühr</w:t>
      </w:r>
    </w:p>
    <w:p>
      <w:r>
        <w:t>- 6 -</w:t>
      </w:r>
    </w:p>
    <w:p>
      <w:r>
        <w:t>ist auf Fr. 1'000.-- festzusetzen (Art. 63 Abs. 5 VwVG und Art. 73 StBOG sowie Art. 5 und 8 Abs. 3 lit. a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