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RH.2014.6 vom 28. Mai 2014</w:t>
      </w:r>
    </w:p>
    <w:p>
      <w:r>
        <w:t>Bundesstrafgericht, 2014-05-28, FR</w:t>
      </w:r>
    </w:p>
    <w:p>
      <w:r>
        <w:rPr>
          <w:b/>
        </w:rPr>
        <w:t xml:space="preserve">Quelle: </w:t>
      </w:r>
      <w:r>
        <w:t>https://mcp.opencaselaw.ch/entscheid/bstger_RH.2014.6</w:t>
      </w:r>
    </w:p>
    <w:p>
      <w:r>
        <w:t>FR: TPF RH.2014.6 du 28 mai 2014</w:t>
      </w:r>
    </w:p>
    <w:p>
      <w:r>
        <w:t>IT: TPF RH.2014.6 del 28 maggio 2014</w:t>
      </w:r>
    </w:p>
    <w:p>
      <w:pPr>
        <w:pStyle w:val="Heading2"/>
      </w:pPr>
      <w:r>
        <w:t>Regeste</w:t>
      </w:r>
    </w:p>
    <w:p>
      <w:r>
        <w:t>Extradition à l'Allemagne. Mandat d'arrêt en vue d'extradition (art. 48 al. 2 EIMP).</w:t>
      </w:r>
    </w:p>
    <w:p>
      <w:pPr>
        <w:pStyle w:val="Heading2"/>
      </w:pPr>
      <w:r>
        <w:t>Erwägungen</w:t>
      </w:r>
    </w:p>
    <w:p>
      <w:r>
        <w:rPr>
          <w:b/>
        </w:rPr>
        <w:t>E. 1.1</w:t>
      </w:r>
    </w:p>
    <w:p>
      <w:r>
        <w:t>Les procédures d'extradition entre la Suisse et l'Allemagne sont prioritairement régies par la Convention européenne d’extradition du 13 décembre 1957 (CEExtr; RS 0.353.1), entrée en vigueur pour la Suisse le 20 mars 1967 et pour l'Allemagne le 1er janvier 1977, et par le Deuxième protocole additionnel à la CEExtr (RS 0.353.12), entré en vigueur pour la Suisse le 9 juin 1985 et pour l'Allemagne le 6 juin 1991. De plus, l'Accord complémentaire du 13 novembre 1969 entre la Confédération suisse et la République fédérale d'Allemagne en vue de compléter la CEExtr et de faciliter son application (RS 0.353.913.61; ci-après: l'Accord complémentaire) trouve application.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Cour des plaintes du Tribunal pénal fédéral est compétente pour connaître des recours dirigés contre les mandats d’arrêt à titre extraditionnel (art. 37 al. 2 let. a ch. 1 de la loi fédérale sur l’organisation des autorités pénales de la Confédération [LOAP; RS 173.71], mis en relation avec l’art. 48 al. 2 EIMP. Adressé par la personne visée dans les dix jours à compter de la notification du mandat d’arrêt (art. 48 al. 2 EIMP), le recours est formellement recevable.</w:t>
      </w:r>
    </w:p>
    <w:p>
      <w:r>
        <w:t>- 4 -</w:t>
      </w:r>
    </w:p>
    <w:p>
      <w:r>
        <w:rPr>
          <w:b/>
        </w:rPr>
        <w:t>E. 2</w:t>
      </w:r>
    </w:p>
    <w:p>
      <w:r>
        <w:t>Le recourant argue du fait que la prescription en droit allemand est acquise pour les faits qui lui sont reprochés, rendant son extradition manifestement inadmissible.</w:t>
      </w:r>
    </w:p>
    <w:p>
      <w:r>
        <w:rPr>
          <w:b/>
        </w:rPr>
        <w:t>E. 2.1</w:t>
      </w:r>
    </w:p>
    <w:p>
      <w:r>
        <w:t>Selon l'art. 16 ch. 1 de la CEExtr, disposition qui régit l'arrestation provisoire aux fins d'extradition, les autorités compétentes de l'Etat requérant peuvent, en cas d'urgence, demander l'arrestation provisoire de l'individu recherché; les autorités compétentes de l'Etat requis statuent sur cette demande conformément à la loi de l'Etat requis. Saisie d’un recours fondé sur l’art. 48 al. 2 EIMP, la Cour des plaintes n’a pas, à ce stade de la procédure, à se prononcer sur le bien-fondé de la demande d’extradition (ATF 130 II 306 consid. 2.3). Elle se borne à examiner la légalité de l’arrestation et si la détention aux fins d’extradition se justifie (ATF 111 IV 108 consid. 3; MOREILLON [éd.], Commentaire romand EIMP, Bâle/ Genève/Munich 2004, n° 19 ad art. 47). Les griefs relatifs au bien-fondé de la demande d’extradition doivent en principe être soulevés dans le cadre de la procédure d’extradition proprement dite pour laquelle sont compétents, en première instance, l'OFJ et, sur recours, le Tribunal pénal fédéral et le Tribunal fédéral en dernière instance, aux conditions prévues à l’art. 84 LTF (ATF 133 IV 125, 129, 131, 132, 134). Selon la jurisprudence constante, la détention extraditionnelle est la règle, tandis que la mise en liberté demeure l’exception (ATF 130 II 306 consid. 2.2), la mise en liberté provisoire étant au demeurant soumise à des exigences plus strictes en matière de détention extraditionnelle que de détention préventive (ATF 130 II 306 consid. 2.2; 111 IV 108 consid. 2; 109 Ib 223 consid. 2c; arrêt du Tribunal fédéral 1A.148/2004 du 21 juin 2004, consid. 2.2). Aux termes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ou encore si l’extradition est manifestement inadmissible (art. 51 al. 1 EIMP; ATF 117 IV 359 consid. 2). La question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qui en a fait la demande (art. 1 CEExtr). A teneur de l'art. IV de l'Accord complémentaire, l'extradition ne peut être refusée au motif que l'action pénale ou la peine est prescrite selon les dispositions légales de l'Etat requis. En d'autres termes, seule la</w:t>
      </w:r>
    </w:p>
    <w:p>
      <w:r>
        <w:t>- 5 -</w:t>
      </w:r>
    </w:p>
    <w:p>
      <w:r>
        <w:t>prescription d'après le droit de la partie requérante doit être prise en compte. En l'espèce, il est reproché à A. d'avoir, le 8 mars 1994, à Z., menacé une victime au moyen d'une arme à feu et lui avoir volé DEM 2'836.-- (soit environ EUR 1'450.--) alors qu'il était masqué. Cette infraction, qualifiée, comme l'indiquent les autorités allemandes, de "schwerer Raub" au sens de l'art. 250 al. 2 ch. 1 du Code pénal allemand (art. 250 al. 1 ch. 1 du Code pénal allemand dans son ancienne teneur; act. 1.3), est passible d'une peine menace de 15 ans de privation de liberté (art. 38 al. 2 du Code pénal allemand). En application de l'art. 78 al. 3 ch. 2 du Code pénal allemand, la prescription devrait alors être de 20 ans, arrivant à échéance le 8 mars 2014. Néanmoins, sur demande de l'OFJ, les autorités allemandes ont indiqué que divers actes de procédure sont intervenus depuis la commission de l'infraction, interrompant ainsi la prescription qui ne sera pas acquise avant le 16 octobre 2032.</w:t>
      </w:r>
    </w:p>
    <w:p>
      <w:r>
        <w:rPr>
          <w:b/>
        </w:rPr>
        <w:t>E. 2.2</w:t>
      </w:r>
    </w:p>
    <w:p>
      <w:r>
        <w:t>En tout état de cause, en tant qu'il a trait au bien-fondé de la demande d'extradition, le grief tiré de la prescription (art. 10 CEExtr) doit être soulevé dans le cadre de la procédure d'extradition proprement dite. Le fait que ce grief soit soulevé à l'appui d’un recours contre le mandat d’arrêt extraditionnel ne saurait avoir pour effet de contraindre la Cour de céans à procéder de manière anticipée à un examen approfondi du grief tiré de la prescription (cf. arrêt du Tribunal fédéral RR.2007.185 du 7 janvier 2008, consid. 4.2; ATF 109 Ib 223 consid. 3b). En l’espèce, on se limitera donc à constater que la résolution de la question exige un examen détaillé du droit étranger, de sorte qu’à ce stade, l’extradition n’est pas manifestement inadmissible au sens de la jurisprudence citée plus haut (supra consid. 2.1).</w:t>
      </w:r>
    </w:p>
    <w:p>
      <w:r>
        <w:rPr>
          <w:b/>
        </w:rPr>
        <w:t>E. 2.3</w:t>
      </w:r>
    </w:p>
    <w:p>
      <w:r>
        <w:t>Le grief unique invoqué par le recourant ne saurait être admis.</w:t>
      </w:r>
    </w:p>
    <w:p>
      <w:r>
        <w:rPr>
          <w:b/>
        </w:rPr>
        <w:t>E. 3</w:t>
      </w:r>
    </w:p>
    <w:p>
      <w:r>
        <w:t>Au regard de ce qui précède, le recours doit être rejeté.</w:t>
      </w:r>
    </w:p>
    <w:p>
      <w:r>
        <w:rPr>
          <w:b/>
        </w:rPr>
        <w:t>E. 4</w:t>
      </w:r>
    </w:p>
    <w:p>
      <w:r>
        <w:t>Le recourant sollicite l’octroi de l’assistance judiciaire et la nomination de Me Corinne Arpin en qualité de mandataire d’office.</w:t>
      </w:r>
    </w:p>
    <w:p>
      <w:r>
        <w:rPr>
          <w:b/>
        </w:rPr>
        <w:t>E. 4.1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w:t>
      </w:r>
    </w:p>
    <w:p>
      <w:r>
        <w:t>- 6 -</w:t>
      </w:r>
    </w:p>
    <w:p>
      <w:r>
        <w:t>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En l'espèce, à l'appui de sa demande, le recourant a fourni à la Cour le formulaire pertinent rempli par ses soins. Il y fait figurer une dette de CHF 80'000.-- ("créancier: Banque") ainsi que des dépenses mensuelles de CHF 2'200.-- (CHF 1'000.-- au poste "pension alimentaire" et CHF 1'200.-- au poste "Autres dépenses: vie courante"). De plus, il indique percevoir un revenu de CHF 2'000.-- ("Salaire"). Néanmoins, il ne fournit aucune pièce pouvant attester de ces montants et, partant, de sa situation financière prétendument difficile et ce malgré le rappel allant expressément dans ce sens qui lui a été adressé par la Cour par courrier du 15 mai 2014 (cause RP.2014.51, act. 2). Par ailleurs, aucun élément pouvant appuyer les chiffres indiqués par le recourant ne ressort du dossier à disposition de la Cour. Partant, la demande d'assistance judiciaire doit être rejetée.</w:t>
      </w:r>
    </w:p>
    <w:p>
      <w:r>
        <w:rPr>
          <w:b/>
        </w:rPr>
        <w:t>E. 4.2</w:t>
      </w:r>
    </w:p>
    <w:p>
      <w:r>
        <w:t>Il s’ensuit que les frais de procédure comprenant l'émolument d'arrêté, les émoluments de chancellerie et les débours seront mis à la charge du 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5</w:t>
      </w:r>
    </w:p>
    <w:p>
      <w:r>
        <w:t>et 8 al. 3 du règlement du Tribunal pénal fédéral sur les frais, émoluments, dépens et indemnités de la procédure pénale fédérale du 31 août 2010 [RFPPF; RS 173.713.162] et art. 63 al. 5 PA). Le recourant supportera ainsi les frais du présent arrêt qui seront fixés à CHF 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