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RH.2014.4 vom 16. April 2014</w:t>
      </w:r>
    </w:p>
    <w:p>
      <w:r>
        <w:t>Bundesstrafgericht, 2014-04-16, DE</w:t>
      </w:r>
    </w:p>
    <w:p>
      <w:r>
        <w:rPr>
          <w:b/>
        </w:rPr>
        <w:t xml:space="preserve">Quelle: </w:t>
      </w:r>
      <w:r>
        <w:t>https://mcp.opencaselaw.ch/entscheid/bstger_RH.2014.4</w:t>
      </w:r>
    </w:p>
    <w:p>
      <w:r>
        <w:t>FR: TPF RH.2014.4 du 16 avril 2014</w:t>
      </w:r>
    </w:p>
    <w:p>
      <w:r>
        <w:t>IT: TPF RH.2014.4 del 16 aprile 2014</w:t>
      </w:r>
    </w:p>
    <w:p>
      <w:pPr>
        <w:pStyle w:val="Heading2"/>
      </w:pPr>
      <w:r>
        <w:t>Regeste</w:t>
      </w:r>
    </w:p>
    <w:p>
      <w:r>
        <w:t>Auslieferung an Deutschland. Auslieferungshaftbefehl (Art. 48 Abs. 2 IRSG).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November 2002 wegen eines besonders schweren Falles von versuch- tem Diebstahl verlangt wurde (act. 5.1);</w:t>
      </w:r>
    </w:p>
    <w:p>
      <w:r>
        <w:t>- A. am 30. März 2014 in der Schweiz angehalten und mit Haftanordnung vom selben Tag des Bundesamtes für Justiz (nachfolgend "BJ") in proviso- rische Auslieferungshaft versetzt wurde (act. 5.2);</w:t>
      </w:r>
    </w:p>
    <w:p>
      <w:r>
        <w:t>- A. anlässlich seiner Einvernahme vom 31. März 2014 erklärte, grundsätz- lich mit einer Auslieferung an Deutschland einverstanden zu sein, aber eine Bedenkfrist bis zum 2. April 2014 wünsche (act. 5.3; Befragungsprotokoll S. 4 f.); mit Schreiben vom 1. April 2014 A. sein Einverständnis zurückzog, indem er erklärte, er lehne seine Auslieferung ab (act. 5.4);</w:t>
      </w:r>
    </w:p>
    <w:p>
      <w:r>
        <w:t>- in der Folge das BJ am 2. April 2014 gegen A. einen Auslieferungshaftbe- fehl erliess, welcher ihm am 7. April 2014 eröffnet wurde (act. 1.1; 5.5.2);</w:t>
      </w:r>
    </w:p>
    <w:p>
      <w:r>
        <w:t>- mit Schreiben vom 7. April 2014 A. erklärte, er stimme einem vereinfachten Auslieferungsverfahren zu (act. 5.5.1);</w:t>
      </w:r>
    </w:p>
    <w:p>
      <w:r>
        <w:t>- gleichzeitig A. mit Schreiben datiert vom 7. April 2014 (mit Postaufgabe vom 8. April 2014, hierorts eingegangen am 9. April 2014) Beschwerde ge- gen den Auslieferungshaftbefehl erhob (act. 1);</w:t>
      </w:r>
    </w:p>
    <w:p>
      <w:r>
        <w:t>- mit Schreiben vom 9. April 2014 das BJ zur Beschwerdeantwort und der Beschwerdeführer zur allfälligen Beschwerdereplik aufgefordert wurden (act. 2); die Aufforderung an den Beschwerdeführer nicht zugestellt werden konnte (act. 3 und 4; s. nachfolgend);</w:t>
      </w:r>
    </w:p>
    <w:p>
      <w:r>
        <w:t>- das BJ im Rahmen seiner Beschwerdeantwort mitteilte, es habe gestützt auf die Einwilligung des Beschwerdeführers in die vereinfachte Ausliefe- rung dessen Auslieferung an Deutschland am 8. April 2014 bewilligt und der Vollzug sei am 9. April 2014 erfolgt (act. 5 S. 2; act. 5.6);</w:t>
      </w:r>
    </w:p>
    <w:p>
      <w:r>
        <w:t>- 3 -</w:t>
      </w:r>
    </w:p>
    <w:p>
      <w:r>
        <w:t>- der Beschwerdeführer in seiner Beschwerde gegen den Auslieferungshaft- befehl ausschliesslich Einwendungen gegen seine Auslieferung an sich er- hob; er infolge seiner Einwilligung in die vereinfachte Auslieferung in der Sache unstreitig kein Interesse mehr an der Behandlung seiner Beschwer- de gegen den Auslieferungshaftbefehl hat; das Beschwerdeverfahren auf- grund der Auslieferung als gegenstandslos geworden vom Geschäftsver- zeichnis abzuschreiben ist (vgl. Urteile des Bundesgerichts 1C_122/2008 vom 30. Mai 2008; 1A.164/2005 vom 15. November 2005; Entscheid des Bundesstrafgerichts RR.2011.25 vom 16. Mai 2011);</w:t>
      </w:r>
    </w:p>
    <w:p>
      <w:r>
        <w:t>- es sich unter diesen Umständen rechtfertigt, auf die Erhebung einer Ge- richtsgebühr zu verzichten.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